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F6" w:rsidRPr="00C348BD" w:rsidRDefault="00103D7A" w:rsidP="00DF2CB9">
      <w:pPr>
        <w:spacing w:after="0" w:line="240" w:lineRule="auto"/>
        <w:jc w:val="center"/>
        <w:rPr>
          <w:rFonts w:asciiTheme="minorHAnsi" w:hAnsiTheme="minorHAnsi" w:cstheme="minorHAnsi"/>
          <w:sz w:val="28"/>
          <w:szCs w:val="28"/>
        </w:rPr>
      </w:pPr>
      <w:r w:rsidRPr="00C348BD">
        <w:rPr>
          <w:rFonts w:asciiTheme="minorHAnsi" w:hAnsiTheme="minorHAnsi" w:cstheme="minorHAnsi"/>
          <w:sz w:val="28"/>
          <w:szCs w:val="28"/>
        </w:rPr>
        <w:t>Sprawozdanie</w:t>
      </w:r>
      <w:r w:rsidR="00366FFA">
        <w:rPr>
          <w:rFonts w:asciiTheme="minorHAnsi" w:hAnsiTheme="minorHAnsi" w:cstheme="minorHAnsi"/>
          <w:sz w:val="28"/>
          <w:szCs w:val="28"/>
        </w:rPr>
        <w:t xml:space="preserve"> z wykonania P</w:t>
      </w:r>
      <w:r w:rsidR="006C1AF6" w:rsidRPr="00C348BD">
        <w:rPr>
          <w:rFonts w:asciiTheme="minorHAnsi" w:hAnsiTheme="minorHAnsi" w:cstheme="minorHAnsi"/>
          <w:sz w:val="28"/>
          <w:szCs w:val="28"/>
        </w:rPr>
        <w:t>lanu działalności</w:t>
      </w:r>
    </w:p>
    <w:p w:rsidR="00DF2CB9" w:rsidRPr="00C348BD" w:rsidRDefault="006C1AF6" w:rsidP="00DF2CB9">
      <w:pPr>
        <w:spacing w:after="0" w:line="240" w:lineRule="auto"/>
        <w:jc w:val="center"/>
        <w:rPr>
          <w:rFonts w:asciiTheme="minorHAnsi" w:hAnsiTheme="minorHAnsi" w:cstheme="minorHAnsi"/>
          <w:sz w:val="28"/>
          <w:szCs w:val="28"/>
        </w:rPr>
      </w:pPr>
      <w:r w:rsidRPr="00C348BD">
        <w:rPr>
          <w:rFonts w:asciiTheme="minorHAnsi" w:hAnsiTheme="minorHAnsi" w:cstheme="minorHAnsi"/>
          <w:sz w:val="28"/>
          <w:szCs w:val="28"/>
        </w:rPr>
        <w:t>Sądu Okręgowego w Radomiu</w:t>
      </w:r>
    </w:p>
    <w:p w:rsidR="00310B5B" w:rsidRPr="00C348BD" w:rsidRDefault="003960DF" w:rsidP="00E67B8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za rok 2022</w:t>
      </w:r>
    </w:p>
    <w:p w:rsidR="00310B5B" w:rsidRPr="00C348BD" w:rsidRDefault="00103D7A">
      <w:pPr>
        <w:rPr>
          <w:rFonts w:asciiTheme="minorHAnsi" w:hAnsiTheme="minorHAnsi" w:cstheme="minorHAnsi"/>
          <w:sz w:val="28"/>
          <w:szCs w:val="28"/>
        </w:rPr>
      </w:pPr>
      <w:r w:rsidRPr="00C348BD">
        <w:rPr>
          <w:rFonts w:asciiTheme="minorHAnsi" w:hAnsiTheme="minorHAnsi" w:cstheme="minorHAnsi"/>
          <w:sz w:val="28"/>
          <w:szCs w:val="28"/>
        </w:rPr>
        <w:t xml:space="preserve">Część A: </w:t>
      </w:r>
      <w:r w:rsidR="00DF2CB9" w:rsidRPr="00C348BD">
        <w:rPr>
          <w:rFonts w:asciiTheme="minorHAnsi" w:hAnsiTheme="minorHAnsi" w:cstheme="minorHAnsi"/>
          <w:sz w:val="28"/>
          <w:szCs w:val="28"/>
        </w:rPr>
        <w:t>Realizacja n</w:t>
      </w:r>
      <w:r w:rsidR="003960DF">
        <w:rPr>
          <w:rFonts w:asciiTheme="minorHAnsi" w:hAnsiTheme="minorHAnsi" w:cstheme="minorHAnsi"/>
          <w:sz w:val="28"/>
          <w:szCs w:val="28"/>
        </w:rPr>
        <w:t>ajważniejszych celów w roku 2022</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sprawozanie z wykonania planu działalności 2022"/>
        <w:tblDescription w:val="Tabela przedstawia sprawozdanie z wykonania planu działalności&#10;Sądu Okręgowego w Radomiu za rok 2022 i w siedmiu kolumnach określa liczbę porządkową celu, nazwę celu planu działalności, nazwę miernika, jego planowaną wartość do osiągnięcia na koniec roku, którego dotyczy sprawozdanie, jego ośiągnietą wartość na koniec roku, najważniejsze planowane zadania służące realizacji celu oraz najważniejsze podjęte zadania służace realizacji celu. Tabela wymienia 3 cele planu działalności na rok 2022.&#10;"/>
      </w:tblPr>
      <w:tblGrid>
        <w:gridCol w:w="563"/>
        <w:gridCol w:w="2268"/>
        <w:gridCol w:w="2553"/>
        <w:gridCol w:w="1702"/>
        <w:gridCol w:w="1702"/>
        <w:gridCol w:w="3794"/>
        <w:gridCol w:w="2727"/>
      </w:tblGrid>
      <w:tr w:rsidR="00103D7A" w:rsidRPr="00DF2CB9" w:rsidTr="00D3760D">
        <w:tc>
          <w:tcPr>
            <w:tcW w:w="563" w:type="dxa"/>
            <w:vMerge w:val="restart"/>
            <w:vAlign w:val="center"/>
          </w:tcPr>
          <w:p w:rsidR="00103D7A" w:rsidRPr="004B6555" w:rsidRDefault="00103D7A" w:rsidP="00BB0894">
            <w:pPr>
              <w:spacing w:after="0" w:line="240" w:lineRule="auto"/>
              <w:jc w:val="center"/>
              <w:rPr>
                <w:rFonts w:asciiTheme="minorHAnsi" w:hAnsiTheme="minorHAnsi" w:cstheme="minorHAnsi"/>
                <w:sz w:val="24"/>
                <w:szCs w:val="24"/>
              </w:rPr>
            </w:pPr>
            <w:proofErr w:type="spellStart"/>
            <w:r w:rsidRPr="004B6555">
              <w:rPr>
                <w:rFonts w:asciiTheme="minorHAnsi" w:hAnsiTheme="minorHAnsi" w:cstheme="minorHAnsi"/>
                <w:sz w:val="24"/>
                <w:szCs w:val="24"/>
              </w:rPr>
              <w:t>L.p</w:t>
            </w:r>
            <w:proofErr w:type="spellEnd"/>
          </w:p>
        </w:tc>
        <w:tc>
          <w:tcPr>
            <w:tcW w:w="2268"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Cel</w:t>
            </w:r>
          </w:p>
        </w:tc>
        <w:tc>
          <w:tcPr>
            <w:tcW w:w="5957" w:type="dxa"/>
            <w:gridSpan w:val="3"/>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Mierniki określające stopień realizacji celu</w:t>
            </w:r>
          </w:p>
        </w:tc>
        <w:tc>
          <w:tcPr>
            <w:tcW w:w="3794"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vertAlign w:val="superscript"/>
              </w:rPr>
            </w:pPr>
            <w:r w:rsidRPr="004B6555">
              <w:rPr>
                <w:rFonts w:asciiTheme="minorHAnsi" w:hAnsiTheme="minorHAnsi" w:cstheme="minorHAnsi"/>
                <w:sz w:val="24"/>
                <w:szCs w:val="24"/>
              </w:rPr>
              <w:t>Najważniejsze planowane zadania</w:t>
            </w:r>
            <w:r w:rsidR="00E75B9B" w:rsidRPr="004B6555">
              <w:rPr>
                <w:rFonts w:asciiTheme="minorHAnsi" w:hAnsiTheme="minorHAnsi" w:cstheme="minorHAnsi"/>
                <w:sz w:val="24"/>
                <w:szCs w:val="24"/>
              </w:rPr>
              <w:t xml:space="preserve"> służące realizacji celu</w:t>
            </w:r>
            <w:r w:rsidR="006C1AF6" w:rsidRPr="004B6555">
              <w:rPr>
                <w:rFonts w:asciiTheme="minorHAnsi" w:hAnsiTheme="minorHAnsi" w:cstheme="minorHAnsi"/>
                <w:sz w:val="24"/>
                <w:szCs w:val="24"/>
                <w:vertAlign w:val="superscript"/>
              </w:rPr>
              <w:t>4)</w:t>
            </w:r>
          </w:p>
        </w:tc>
        <w:tc>
          <w:tcPr>
            <w:tcW w:w="2727"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vertAlign w:val="superscript"/>
              </w:rPr>
            </w:pPr>
            <w:r w:rsidRPr="004B6555">
              <w:rPr>
                <w:rFonts w:asciiTheme="minorHAnsi" w:hAnsiTheme="minorHAnsi" w:cstheme="minorHAnsi"/>
                <w:sz w:val="24"/>
                <w:szCs w:val="24"/>
              </w:rPr>
              <w:t>Najważniejsze podjęte zadania służące realizacji celu</w:t>
            </w:r>
            <w:r w:rsidR="006C1AF6" w:rsidRPr="004B6555">
              <w:rPr>
                <w:rFonts w:asciiTheme="minorHAnsi" w:hAnsiTheme="minorHAnsi" w:cstheme="minorHAnsi"/>
                <w:sz w:val="24"/>
                <w:szCs w:val="24"/>
                <w:vertAlign w:val="superscript"/>
              </w:rPr>
              <w:t>5)</w:t>
            </w:r>
          </w:p>
        </w:tc>
      </w:tr>
      <w:tr w:rsidR="00103D7A" w:rsidRPr="00DF2CB9" w:rsidTr="00D3760D">
        <w:tc>
          <w:tcPr>
            <w:tcW w:w="563" w:type="dxa"/>
            <w:vMerge/>
            <w:vAlign w:val="center"/>
          </w:tcPr>
          <w:p w:rsidR="00103D7A" w:rsidRPr="004B6555" w:rsidRDefault="00103D7A" w:rsidP="00DF2CB9">
            <w:pPr>
              <w:spacing w:after="0" w:line="240" w:lineRule="auto"/>
              <w:jc w:val="center"/>
              <w:rPr>
                <w:rFonts w:asciiTheme="minorHAnsi" w:hAnsiTheme="minorHAnsi" w:cstheme="minorHAnsi"/>
                <w:b/>
                <w:sz w:val="24"/>
                <w:szCs w:val="24"/>
              </w:rPr>
            </w:pPr>
          </w:p>
        </w:tc>
        <w:tc>
          <w:tcPr>
            <w:tcW w:w="2268" w:type="dxa"/>
            <w:vMerge/>
            <w:vAlign w:val="center"/>
          </w:tcPr>
          <w:p w:rsidR="00103D7A" w:rsidRPr="004B6555" w:rsidRDefault="00103D7A" w:rsidP="00DF2CB9">
            <w:pPr>
              <w:spacing w:after="0" w:line="240" w:lineRule="auto"/>
              <w:jc w:val="center"/>
              <w:rPr>
                <w:rFonts w:asciiTheme="minorHAnsi" w:hAnsiTheme="minorHAnsi" w:cstheme="minorHAnsi"/>
                <w:b/>
                <w:sz w:val="24"/>
                <w:szCs w:val="24"/>
              </w:rPr>
            </w:pPr>
          </w:p>
        </w:tc>
        <w:tc>
          <w:tcPr>
            <w:tcW w:w="2553"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Nazwa</w:t>
            </w:r>
          </w:p>
        </w:tc>
        <w:tc>
          <w:tcPr>
            <w:tcW w:w="1702"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Planowana wartość</w:t>
            </w:r>
            <w:r w:rsidR="00E75B9B" w:rsidRPr="004B6555">
              <w:rPr>
                <w:rFonts w:asciiTheme="minorHAnsi" w:hAnsiTheme="minorHAnsi" w:cstheme="minorHAnsi"/>
                <w:sz w:val="24"/>
                <w:szCs w:val="24"/>
              </w:rPr>
              <w:t xml:space="preserve"> do osiągnięcia na koniec roku, którego dotyczy sprawozdanie</w:t>
            </w:r>
          </w:p>
        </w:tc>
        <w:tc>
          <w:tcPr>
            <w:tcW w:w="1702"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 xml:space="preserve">Osiągnięta wartość </w:t>
            </w:r>
            <w:r w:rsidR="00E75B9B" w:rsidRPr="004B6555">
              <w:rPr>
                <w:rFonts w:asciiTheme="minorHAnsi" w:hAnsiTheme="minorHAnsi" w:cstheme="minorHAnsi"/>
                <w:sz w:val="24"/>
                <w:szCs w:val="24"/>
              </w:rPr>
              <w:t>na koniec roku, którego dotyczy sprawozdanie</w:t>
            </w:r>
          </w:p>
        </w:tc>
        <w:tc>
          <w:tcPr>
            <w:tcW w:w="3794" w:type="dxa"/>
            <w:vMerge/>
          </w:tcPr>
          <w:p w:rsidR="00103D7A" w:rsidRPr="004B6555" w:rsidRDefault="00103D7A" w:rsidP="00DF2CB9">
            <w:pPr>
              <w:spacing w:after="0" w:line="240" w:lineRule="auto"/>
              <w:rPr>
                <w:rFonts w:asciiTheme="minorHAnsi" w:hAnsiTheme="minorHAnsi" w:cstheme="minorHAnsi"/>
                <w:sz w:val="24"/>
                <w:szCs w:val="24"/>
              </w:rPr>
            </w:pPr>
          </w:p>
        </w:tc>
        <w:tc>
          <w:tcPr>
            <w:tcW w:w="2727" w:type="dxa"/>
            <w:vMerge/>
          </w:tcPr>
          <w:p w:rsidR="00103D7A" w:rsidRPr="004B6555" w:rsidRDefault="00103D7A" w:rsidP="00DF2CB9">
            <w:pPr>
              <w:spacing w:after="0" w:line="240" w:lineRule="auto"/>
              <w:rPr>
                <w:rFonts w:asciiTheme="minorHAnsi" w:hAnsiTheme="minorHAnsi" w:cstheme="minorHAnsi"/>
                <w:sz w:val="24"/>
                <w:szCs w:val="24"/>
              </w:rPr>
            </w:pPr>
          </w:p>
        </w:tc>
      </w:tr>
      <w:tr w:rsidR="00103D7A" w:rsidRPr="00DF2CB9" w:rsidTr="00D3760D">
        <w:tc>
          <w:tcPr>
            <w:tcW w:w="563"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1</w:t>
            </w:r>
          </w:p>
        </w:tc>
        <w:tc>
          <w:tcPr>
            <w:tcW w:w="2268"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2</w:t>
            </w:r>
          </w:p>
        </w:tc>
        <w:tc>
          <w:tcPr>
            <w:tcW w:w="2553"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3</w:t>
            </w:r>
          </w:p>
        </w:tc>
        <w:tc>
          <w:tcPr>
            <w:tcW w:w="1702"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4</w:t>
            </w:r>
          </w:p>
        </w:tc>
        <w:tc>
          <w:tcPr>
            <w:tcW w:w="1702"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5</w:t>
            </w:r>
          </w:p>
        </w:tc>
        <w:tc>
          <w:tcPr>
            <w:tcW w:w="3794"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6</w:t>
            </w:r>
          </w:p>
        </w:tc>
        <w:tc>
          <w:tcPr>
            <w:tcW w:w="2727"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7</w:t>
            </w:r>
          </w:p>
        </w:tc>
      </w:tr>
      <w:tr w:rsidR="003960DF" w:rsidRPr="00DF2CB9" w:rsidTr="00D3760D">
        <w:tc>
          <w:tcPr>
            <w:tcW w:w="563" w:type="dxa"/>
            <w:vAlign w:val="center"/>
          </w:tcPr>
          <w:p w:rsidR="003960DF"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2268" w:type="dxa"/>
            <w:vAlign w:val="center"/>
          </w:tcPr>
          <w:p w:rsidR="003960DF" w:rsidRPr="00B21559" w:rsidRDefault="002A5A99" w:rsidP="00396D00">
            <w:pPr>
              <w:spacing w:after="0" w:line="240" w:lineRule="auto"/>
              <w:rPr>
                <w:rFonts w:asciiTheme="minorHAnsi" w:hAnsiTheme="minorHAnsi" w:cstheme="minorHAnsi"/>
                <w:sz w:val="24"/>
                <w:szCs w:val="24"/>
              </w:rPr>
            </w:pPr>
            <w:r w:rsidRPr="00B21559">
              <w:rPr>
                <w:rFonts w:asciiTheme="minorHAnsi" w:hAnsiTheme="minorHAnsi" w:cstheme="minorHAnsi"/>
                <w:sz w:val="24"/>
                <w:szCs w:val="24"/>
              </w:rPr>
              <w:t xml:space="preserve">Standaryzacja systemów organizacji pracy </w:t>
            </w:r>
            <w:r w:rsidRPr="00B21559">
              <w:rPr>
                <w:rFonts w:asciiTheme="minorHAnsi" w:hAnsiTheme="minorHAnsi" w:cstheme="minorHAnsi"/>
                <w:sz w:val="24"/>
                <w:szCs w:val="24"/>
              </w:rPr>
              <w:br/>
              <w:t>w wymiarze sprawiedliwości</w:t>
            </w:r>
          </w:p>
        </w:tc>
        <w:tc>
          <w:tcPr>
            <w:tcW w:w="2553" w:type="dxa"/>
            <w:vAlign w:val="center"/>
          </w:tcPr>
          <w:p w:rsidR="003960DF" w:rsidRPr="00B21559" w:rsidRDefault="002A5A99" w:rsidP="00396D00">
            <w:pPr>
              <w:spacing w:after="0" w:line="240" w:lineRule="auto"/>
              <w:rPr>
                <w:rFonts w:asciiTheme="minorHAnsi" w:hAnsiTheme="minorHAnsi" w:cstheme="minorHAnsi"/>
                <w:sz w:val="24"/>
                <w:szCs w:val="24"/>
              </w:rPr>
            </w:pPr>
            <w:r w:rsidRPr="00B21559">
              <w:rPr>
                <w:rFonts w:asciiTheme="minorHAnsi" w:hAnsiTheme="minorHAnsi" w:cstheme="minorHAnsi"/>
                <w:sz w:val="24"/>
                <w:szCs w:val="24"/>
              </w:rPr>
              <w:t>Liczba etatów asystenckich przypadających na jeden etat sędziego</w:t>
            </w:r>
          </w:p>
        </w:tc>
        <w:tc>
          <w:tcPr>
            <w:tcW w:w="1702" w:type="dxa"/>
            <w:vAlign w:val="center"/>
          </w:tcPr>
          <w:p w:rsidR="003960DF" w:rsidRPr="00D46ABD" w:rsidRDefault="00B21559"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0,4</w:t>
            </w:r>
          </w:p>
        </w:tc>
        <w:tc>
          <w:tcPr>
            <w:tcW w:w="1702" w:type="dxa"/>
            <w:vAlign w:val="center"/>
          </w:tcPr>
          <w:p w:rsidR="003960DF" w:rsidRPr="00D46ABD" w:rsidRDefault="00B21559"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0,4</w:t>
            </w:r>
            <w:bookmarkStart w:id="0" w:name="_GoBack"/>
            <w:bookmarkEnd w:id="0"/>
          </w:p>
        </w:tc>
        <w:tc>
          <w:tcPr>
            <w:tcW w:w="3794" w:type="dxa"/>
            <w:vAlign w:val="center"/>
          </w:tcPr>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1.Monitorowanie poziomu etatyzacji asystentów</w:t>
            </w:r>
            <w:r w:rsidR="009B32BE">
              <w:rPr>
                <w:rFonts w:asciiTheme="minorHAnsi" w:hAnsiTheme="minorHAnsi" w:cstheme="minorHAnsi"/>
                <w:sz w:val="24"/>
                <w:szCs w:val="24"/>
              </w:rPr>
              <w:t xml:space="preserve"> – analiza zwolnionych etatów asystenckich celem właściwego ich rozmieszczenia.</w:t>
            </w:r>
          </w:p>
          <w:p w:rsidR="003960DF" w:rsidRPr="00EC7C26" w:rsidRDefault="00EC7C26" w:rsidP="009B32BE">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2. Zapewnienie optymalnej obsady w ramach przyznanych limitów.</w:t>
            </w:r>
          </w:p>
        </w:tc>
        <w:tc>
          <w:tcPr>
            <w:tcW w:w="2727" w:type="dxa"/>
            <w:vAlign w:val="center"/>
          </w:tcPr>
          <w:p w:rsidR="003960DF" w:rsidRPr="00E11105" w:rsidRDefault="00EB0B27" w:rsidP="00E11105">
            <w:pPr>
              <w:spacing w:after="0" w:line="240" w:lineRule="auto"/>
              <w:rPr>
                <w:rFonts w:asciiTheme="minorHAnsi" w:hAnsiTheme="minorHAnsi" w:cstheme="minorHAnsi"/>
                <w:sz w:val="24"/>
                <w:szCs w:val="24"/>
              </w:rPr>
            </w:pPr>
            <w:r w:rsidRPr="00E11105">
              <w:rPr>
                <w:rFonts w:asciiTheme="minorHAnsi" w:hAnsiTheme="minorHAnsi" w:cstheme="minorHAnsi"/>
                <w:sz w:val="24"/>
                <w:szCs w:val="24"/>
              </w:rPr>
              <w:t>Prowadzenie racjonalnej polityki kadrowej.</w:t>
            </w:r>
          </w:p>
        </w:tc>
      </w:tr>
      <w:tr w:rsidR="002A5A99" w:rsidRPr="00DF2CB9" w:rsidTr="00D3760D">
        <w:tc>
          <w:tcPr>
            <w:tcW w:w="563" w:type="dxa"/>
            <w:vMerge w:val="restart"/>
            <w:vAlign w:val="center"/>
          </w:tcPr>
          <w:p w:rsidR="002A5A99"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2268" w:type="dxa"/>
            <w:vMerge w:val="restart"/>
            <w:vAlign w:val="center"/>
          </w:tcPr>
          <w:p w:rsidR="002A5A99" w:rsidRPr="00EC7C26" w:rsidRDefault="00E864C3"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Zapewnienie dostępnego</w:t>
            </w:r>
            <w:r w:rsidRPr="00EC7C26">
              <w:rPr>
                <w:rFonts w:asciiTheme="minorHAnsi" w:hAnsiTheme="minorHAnsi" w:cstheme="minorHAnsi"/>
                <w:sz w:val="24"/>
                <w:szCs w:val="24"/>
              </w:rPr>
              <w:br/>
              <w:t>i otwartego na obywatela wymiaru sprawiedliwości</w:t>
            </w:r>
          </w:p>
        </w:tc>
        <w:tc>
          <w:tcPr>
            <w:tcW w:w="2553" w:type="dxa"/>
            <w:vAlign w:val="center"/>
          </w:tcPr>
          <w:p w:rsidR="002A5A99" w:rsidRPr="00EC7C26" w:rsidRDefault="00E864C3"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Wskaźnik opanowania wpływu spraw (ogółem)</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93,0%</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94,7%</w:t>
            </w:r>
          </w:p>
        </w:tc>
        <w:tc>
          <w:tcPr>
            <w:tcW w:w="3794" w:type="dxa"/>
            <w:vMerge w:val="restart"/>
            <w:vAlign w:val="center"/>
          </w:tcPr>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1.Działalność orzecznicza.</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2.Wykonywanie wewnętrznego nadzoru administracyjnego nad działalnością administracyjną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 xml:space="preserve">3.Prowadzenie bieżącej analizy wyników pracy Sądu oraz </w:t>
            </w:r>
            <w:r w:rsidRPr="00EC7C26">
              <w:rPr>
                <w:rFonts w:asciiTheme="minorHAnsi" w:hAnsiTheme="minorHAnsi" w:cstheme="minorHAnsi"/>
                <w:sz w:val="24"/>
                <w:szCs w:val="24"/>
              </w:rPr>
              <w:lastRenderedPageBreak/>
              <w:t>podejmowanie czynności nadzorczych celem zapewnienia prawidłowego toku urzędowania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4.Monitorowanie poziomu etatyzacji i obsady stanowisk: sędziowskich, asystenckich, urzędniczych oraz innych pracowników celem zapewnienia optymalnej obsady w ramach przyznanych limitów.</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 xml:space="preserve">5. </w:t>
            </w:r>
            <w:r w:rsidR="00806643">
              <w:rPr>
                <w:rFonts w:asciiTheme="minorHAnsi" w:hAnsiTheme="minorHAnsi" w:cstheme="minorHAnsi"/>
                <w:sz w:val="24"/>
                <w:szCs w:val="24"/>
              </w:rPr>
              <w:t>Działalność szkoleniowa – podnoszenie kwalifikacji zawodowych sędziów, asystentów sędziów</w:t>
            </w:r>
            <w:r w:rsidR="00DA6487">
              <w:rPr>
                <w:rFonts w:asciiTheme="minorHAnsi" w:hAnsiTheme="minorHAnsi" w:cstheme="minorHAnsi"/>
                <w:sz w:val="24"/>
                <w:szCs w:val="24"/>
              </w:rPr>
              <w:t>, kuratorów sądowych, urzędników sądowych i innych pracowników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6.Działalność na rzecz ułatwienia dostępu do wymiaru sprawiedliwości.</w:t>
            </w:r>
          </w:p>
          <w:p w:rsidR="002A5A99" w:rsidRPr="00EC7C26" w:rsidRDefault="00EC7C26" w:rsidP="00396D00">
            <w:pPr>
              <w:spacing w:after="0"/>
              <w:rPr>
                <w:rFonts w:asciiTheme="minorHAnsi" w:hAnsiTheme="minorHAnsi" w:cstheme="minorHAnsi"/>
                <w:sz w:val="24"/>
                <w:szCs w:val="24"/>
              </w:rPr>
            </w:pPr>
            <w:r w:rsidRPr="00EC7C26">
              <w:rPr>
                <w:rFonts w:asciiTheme="minorHAnsi" w:hAnsiTheme="minorHAnsi" w:cstheme="minorHAnsi"/>
                <w:sz w:val="24"/>
                <w:szCs w:val="24"/>
              </w:rPr>
              <w:t xml:space="preserve">7. Dążenie do zapewnienia odpowiednich warunków </w:t>
            </w:r>
            <w:proofErr w:type="spellStart"/>
            <w:r w:rsidRPr="00EC7C26">
              <w:rPr>
                <w:rFonts w:asciiTheme="minorHAnsi" w:hAnsiTheme="minorHAnsi" w:cstheme="minorHAnsi"/>
                <w:sz w:val="24"/>
                <w:szCs w:val="24"/>
              </w:rPr>
              <w:t>techniczno</w:t>
            </w:r>
            <w:proofErr w:type="spellEnd"/>
            <w:r w:rsidRPr="00EC7C26">
              <w:rPr>
                <w:rFonts w:asciiTheme="minorHAnsi" w:hAnsiTheme="minorHAnsi" w:cstheme="minorHAnsi"/>
                <w:sz w:val="24"/>
                <w:szCs w:val="24"/>
              </w:rPr>
              <w:t xml:space="preserve">  - organizacyjnych niezbędnych do sprawnego funkcjonowania Sądu.</w:t>
            </w:r>
          </w:p>
        </w:tc>
        <w:tc>
          <w:tcPr>
            <w:tcW w:w="2727" w:type="dxa"/>
            <w:vMerge w:val="restart"/>
            <w:vAlign w:val="center"/>
          </w:tcPr>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lastRenderedPageBreak/>
              <w:t xml:space="preserve">1.Czynności nadzorcze Prezesa Sądu </w:t>
            </w:r>
            <w:r w:rsidRPr="00E11105">
              <w:rPr>
                <w:rFonts w:asciiTheme="minorHAnsi" w:hAnsiTheme="minorHAnsi" w:cstheme="minorHAnsi"/>
                <w:sz w:val="24"/>
                <w:szCs w:val="24"/>
              </w:rPr>
              <w:br/>
              <w:t>i Przewodniczących Wydziałów.</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lastRenderedPageBreak/>
              <w:t>2.Zapewnienie właściwej obsady sędziowskiej</w:t>
            </w:r>
            <w:r w:rsidRPr="00E11105">
              <w:rPr>
                <w:rFonts w:asciiTheme="minorHAnsi" w:hAnsiTheme="minorHAnsi" w:cstheme="minorHAnsi"/>
                <w:sz w:val="24"/>
                <w:szCs w:val="24"/>
              </w:rPr>
              <w:br/>
              <w:t>i urzędniczej.</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 xml:space="preserve">3.Delegowanie sędziów z sądów rejonowych okręgu radomskiego do pełnienia obowiązków sędziego </w:t>
            </w:r>
            <w:r w:rsidRPr="00E11105">
              <w:rPr>
                <w:rFonts w:asciiTheme="minorHAnsi" w:hAnsiTheme="minorHAnsi" w:cstheme="minorHAnsi"/>
                <w:sz w:val="24"/>
                <w:szCs w:val="24"/>
              </w:rPr>
              <w:br/>
              <w:t xml:space="preserve">w Sądzie Okręgowym </w:t>
            </w:r>
            <w:r w:rsidRPr="00E11105">
              <w:rPr>
                <w:rFonts w:asciiTheme="minorHAnsi" w:hAnsiTheme="minorHAnsi" w:cstheme="minorHAnsi"/>
                <w:sz w:val="24"/>
                <w:szCs w:val="24"/>
              </w:rPr>
              <w:br/>
              <w:t xml:space="preserve">w Radomiu na podstawie art. 77 </w:t>
            </w:r>
            <w:proofErr w:type="spellStart"/>
            <w:r w:rsidRPr="00E11105">
              <w:rPr>
                <w:rFonts w:asciiTheme="minorHAnsi" w:hAnsiTheme="minorHAnsi" w:cstheme="minorHAnsi"/>
                <w:sz w:val="24"/>
                <w:szCs w:val="24"/>
              </w:rPr>
              <w:t>usp</w:t>
            </w:r>
            <w:proofErr w:type="spellEnd"/>
            <w:r w:rsidRPr="00E11105">
              <w:rPr>
                <w:rFonts w:asciiTheme="minorHAnsi" w:hAnsiTheme="minorHAnsi" w:cstheme="minorHAnsi"/>
                <w:sz w:val="24"/>
                <w:szCs w:val="24"/>
              </w:rPr>
              <w:t>.</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 xml:space="preserve">4.Publikowanie danych statystycznych </w:t>
            </w:r>
            <w:r w:rsidRPr="00E11105">
              <w:rPr>
                <w:rFonts w:asciiTheme="minorHAnsi" w:hAnsiTheme="minorHAnsi" w:cstheme="minorHAnsi"/>
                <w:sz w:val="24"/>
                <w:szCs w:val="24"/>
              </w:rPr>
              <w:br/>
              <w:t>w Portalu Sądowym.</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 xml:space="preserve">5.Podnoszenie kwalifikacji zawodowych poprzez udział </w:t>
            </w:r>
            <w:r w:rsidRPr="00E11105">
              <w:rPr>
                <w:rFonts w:asciiTheme="minorHAnsi" w:hAnsiTheme="minorHAnsi" w:cstheme="minorHAnsi"/>
                <w:sz w:val="24"/>
                <w:szCs w:val="24"/>
              </w:rPr>
              <w:br/>
              <w:t>w szkoleniach.</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6.Zapewnienie ciągłości działania systemów informatycznych.</w:t>
            </w:r>
          </w:p>
          <w:p w:rsidR="002A5A99" w:rsidRPr="00D46ABD" w:rsidRDefault="00EB0B27" w:rsidP="00E11105">
            <w:pPr>
              <w:spacing w:after="0"/>
              <w:rPr>
                <w:rFonts w:asciiTheme="minorHAnsi" w:hAnsiTheme="minorHAnsi" w:cstheme="minorHAnsi"/>
                <w:sz w:val="24"/>
                <w:szCs w:val="24"/>
              </w:rPr>
            </w:pPr>
            <w:r w:rsidRPr="00E11105">
              <w:rPr>
                <w:rFonts w:asciiTheme="minorHAnsi" w:hAnsiTheme="minorHAnsi" w:cstheme="minorHAnsi"/>
                <w:sz w:val="24"/>
                <w:szCs w:val="24"/>
              </w:rPr>
              <w:t>7.Realizowanie standardów profesjonalnej obsługi interesantów</w:t>
            </w:r>
            <w:r w:rsidR="00C2677C">
              <w:rPr>
                <w:rFonts w:asciiTheme="minorHAnsi" w:hAnsiTheme="minorHAnsi" w:cstheme="minorHAnsi"/>
                <w:sz w:val="24"/>
                <w:szCs w:val="24"/>
              </w:rPr>
              <w:t>.</w:t>
            </w:r>
          </w:p>
        </w:tc>
      </w:tr>
      <w:tr w:rsidR="002A5A99" w:rsidRPr="00DF2CB9" w:rsidTr="00D3760D">
        <w:tc>
          <w:tcPr>
            <w:tcW w:w="563" w:type="dxa"/>
            <w:vMerge/>
            <w:vAlign w:val="center"/>
          </w:tcPr>
          <w:p w:rsidR="002A5A99" w:rsidRPr="00D46ABD" w:rsidRDefault="002A5A99" w:rsidP="00DF2CB9">
            <w:pPr>
              <w:spacing w:after="0" w:line="240" w:lineRule="auto"/>
              <w:jc w:val="center"/>
              <w:rPr>
                <w:rFonts w:asciiTheme="minorHAnsi" w:hAnsiTheme="minorHAnsi" w:cstheme="minorHAnsi"/>
                <w:sz w:val="24"/>
                <w:szCs w:val="24"/>
              </w:rPr>
            </w:pPr>
          </w:p>
        </w:tc>
        <w:tc>
          <w:tcPr>
            <w:tcW w:w="2268" w:type="dxa"/>
            <w:vMerge/>
            <w:vAlign w:val="center"/>
          </w:tcPr>
          <w:p w:rsidR="002A5A99" w:rsidRPr="00EC7C26" w:rsidRDefault="002A5A99" w:rsidP="00DF2CB9">
            <w:pPr>
              <w:spacing w:after="0" w:line="240" w:lineRule="auto"/>
              <w:jc w:val="center"/>
              <w:rPr>
                <w:rFonts w:asciiTheme="minorHAnsi" w:hAnsiTheme="minorHAnsi" w:cstheme="minorHAnsi"/>
                <w:sz w:val="24"/>
                <w:szCs w:val="24"/>
              </w:rPr>
            </w:pPr>
          </w:p>
        </w:tc>
        <w:tc>
          <w:tcPr>
            <w:tcW w:w="2553" w:type="dxa"/>
            <w:vAlign w:val="center"/>
          </w:tcPr>
          <w:p w:rsidR="002A5A99" w:rsidRPr="00EC7C26" w:rsidRDefault="008A084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Wskaźnik opanowania wpływu głównych kategorii spraw rozpatrywanych przez sądy w I instancji</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85,0%</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87,8%</w:t>
            </w:r>
          </w:p>
        </w:tc>
        <w:tc>
          <w:tcPr>
            <w:tcW w:w="3794" w:type="dxa"/>
            <w:vMerge/>
            <w:vAlign w:val="center"/>
          </w:tcPr>
          <w:p w:rsidR="002A5A99" w:rsidRPr="00EC7C26" w:rsidRDefault="002A5A99" w:rsidP="00DF2CB9">
            <w:pPr>
              <w:spacing w:after="0" w:line="240" w:lineRule="auto"/>
              <w:jc w:val="center"/>
              <w:rPr>
                <w:rFonts w:asciiTheme="minorHAnsi" w:hAnsiTheme="minorHAnsi" w:cstheme="minorHAnsi"/>
                <w:sz w:val="24"/>
                <w:szCs w:val="24"/>
              </w:rPr>
            </w:pPr>
          </w:p>
        </w:tc>
        <w:tc>
          <w:tcPr>
            <w:tcW w:w="2727" w:type="dxa"/>
            <w:vMerge/>
            <w:vAlign w:val="center"/>
          </w:tcPr>
          <w:p w:rsidR="002A5A99" w:rsidRPr="00D46ABD" w:rsidRDefault="002A5A99" w:rsidP="00DF2CB9">
            <w:pPr>
              <w:spacing w:after="0" w:line="240" w:lineRule="auto"/>
              <w:jc w:val="center"/>
              <w:rPr>
                <w:rFonts w:asciiTheme="minorHAnsi" w:hAnsiTheme="minorHAnsi" w:cstheme="minorHAnsi"/>
                <w:sz w:val="24"/>
                <w:szCs w:val="24"/>
              </w:rPr>
            </w:pPr>
          </w:p>
        </w:tc>
      </w:tr>
      <w:tr w:rsidR="008A0846" w:rsidRPr="00DF2CB9" w:rsidTr="00D3760D">
        <w:tc>
          <w:tcPr>
            <w:tcW w:w="563" w:type="dxa"/>
            <w:vMerge/>
            <w:vAlign w:val="center"/>
          </w:tcPr>
          <w:p w:rsidR="008A0846" w:rsidRPr="00D46ABD" w:rsidRDefault="008A0846" w:rsidP="00DF2CB9">
            <w:pPr>
              <w:spacing w:after="0" w:line="240" w:lineRule="auto"/>
              <w:jc w:val="center"/>
              <w:rPr>
                <w:rFonts w:asciiTheme="minorHAnsi" w:hAnsiTheme="minorHAnsi" w:cstheme="minorHAnsi"/>
                <w:sz w:val="24"/>
                <w:szCs w:val="24"/>
              </w:rPr>
            </w:pPr>
          </w:p>
        </w:tc>
        <w:tc>
          <w:tcPr>
            <w:tcW w:w="2268" w:type="dxa"/>
            <w:vMerge/>
            <w:vAlign w:val="center"/>
          </w:tcPr>
          <w:p w:rsidR="008A0846" w:rsidRPr="00EC7C26" w:rsidRDefault="008A0846" w:rsidP="00DF2CB9">
            <w:pPr>
              <w:spacing w:after="0" w:line="240" w:lineRule="auto"/>
              <w:jc w:val="center"/>
              <w:rPr>
                <w:rFonts w:asciiTheme="minorHAnsi" w:hAnsiTheme="minorHAnsi" w:cstheme="minorHAnsi"/>
                <w:sz w:val="24"/>
                <w:szCs w:val="24"/>
              </w:rPr>
            </w:pPr>
          </w:p>
        </w:tc>
        <w:tc>
          <w:tcPr>
            <w:tcW w:w="2553" w:type="dxa"/>
            <w:vAlign w:val="center"/>
          </w:tcPr>
          <w:p w:rsidR="008A0846" w:rsidRPr="00EC7C26" w:rsidRDefault="008A0846" w:rsidP="00A027B0">
            <w:pPr>
              <w:spacing w:after="0"/>
              <w:rPr>
                <w:rFonts w:asciiTheme="minorHAnsi" w:hAnsiTheme="minorHAnsi" w:cstheme="minorHAnsi"/>
                <w:sz w:val="24"/>
                <w:szCs w:val="24"/>
              </w:rPr>
            </w:pPr>
            <w:r w:rsidRPr="00EC7C26">
              <w:rPr>
                <w:rFonts w:asciiTheme="minorHAnsi" w:hAnsiTheme="minorHAnsi" w:cstheme="minorHAnsi"/>
                <w:sz w:val="24"/>
                <w:szCs w:val="24"/>
              </w:rPr>
              <w:t>Wskaźnik sprawności postępowania sądowego (wg metodologii CEPEJ)</w:t>
            </w:r>
          </w:p>
        </w:tc>
        <w:tc>
          <w:tcPr>
            <w:tcW w:w="1702" w:type="dxa"/>
            <w:vAlign w:val="center"/>
          </w:tcPr>
          <w:p w:rsidR="008A0846"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170,0</w:t>
            </w:r>
          </w:p>
        </w:tc>
        <w:tc>
          <w:tcPr>
            <w:tcW w:w="1702" w:type="dxa"/>
            <w:vAlign w:val="center"/>
          </w:tcPr>
          <w:p w:rsidR="008A0846"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179,8</w:t>
            </w:r>
          </w:p>
        </w:tc>
        <w:tc>
          <w:tcPr>
            <w:tcW w:w="3794" w:type="dxa"/>
            <w:vMerge/>
            <w:vAlign w:val="center"/>
          </w:tcPr>
          <w:p w:rsidR="008A0846" w:rsidRPr="00EC7C26" w:rsidRDefault="008A0846" w:rsidP="00DF2CB9">
            <w:pPr>
              <w:spacing w:after="0" w:line="240" w:lineRule="auto"/>
              <w:jc w:val="center"/>
              <w:rPr>
                <w:rFonts w:asciiTheme="minorHAnsi" w:hAnsiTheme="minorHAnsi" w:cstheme="minorHAnsi"/>
                <w:sz w:val="24"/>
                <w:szCs w:val="24"/>
              </w:rPr>
            </w:pPr>
          </w:p>
        </w:tc>
        <w:tc>
          <w:tcPr>
            <w:tcW w:w="2727" w:type="dxa"/>
            <w:vMerge/>
            <w:vAlign w:val="center"/>
          </w:tcPr>
          <w:p w:rsidR="008A0846" w:rsidRPr="00D46ABD" w:rsidRDefault="008A0846" w:rsidP="00DF2CB9">
            <w:pPr>
              <w:spacing w:after="0" w:line="240" w:lineRule="auto"/>
              <w:jc w:val="center"/>
              <w:rPr>
                <w:rFonts w:asciiTheme="minorHAnsi" w:hAnsiTheme="minorHAnsi" w:cstheme="minorHAnsi"/>
                <w:sz w:val="24"/>
                <w:szCs w:val="24"/>
              </w:rPr>
            </w:pPr>
          </w:p>
        </w:tc>
      </w:tr>
      <w:tr w:rsidR="008A0846" w:rsidRPr="00DF2CB9" w:rsidTr="00D3760D">
        <w:tc>
          <w:tcPr>
            <w:tcW w:w="563" w:type="dxa"/>
            <w:vAlign w:val="center"/>
          </w:tcPr>
          <w:p w:rsidR="008A0846"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2268" w:type="dxa"/>
            <w:vAlign w:val="center"/>
          </w:tcPr>
          <w:p w:rsidR="008A0846" w:rsidRPr="00EC7C26" w:rsidRDefault="0096507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 xml:space="preserve">Upowszechniane mediacji oraz innych polubownych metod </w:t>
            </w:r>
            <w:r w:rsidRPr="00EC7C26">
              <w:rPr>
                <w:rFonts w:asciiTheme="minorHAnsi" w:hAnsiTheme="minorHAnsi" w:cstheme="minorHAnsi"/>
                <w:sz w:val="24"/>
                <w:szCs w:val="24"/>
              </w:rPr>
              <w:lastRenderedPageBreak/>
              <w:t>rozwiązywania sporów, jako rzeczywistej i ogólnodostępnej alternatywy dla spornych postępowań sądowych</w:t>
            </w:r>
          </w:p>
        </w:tc>
        <w:tc>
          <w:tcPr>
            <w:tcW w:w="2553" w:type="dxa"/>
            <w:vAlign w:val="center"/>
          </w:tcPr>
          <w:p w:rsidR="008A0846" w:rsidRPr="00EC7C26" w:rsidRDefault="0096507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lastRenderedPageBreak/>
              <w:t xml:space="preserve">Odsetek spraw skierowanych do mediacji w stosunku do </w:t>
            </w:r>
            <w:r w:rsidRPr="00EC7C26">
              <w:rPr>
                <w:rFonts w:asciiTheme="minorHAnsi" w:hAnsiTheme="minorHAnsi" w:cstheme="minorHAnsi"/>
                <w:sz w:val="24"/>
                <w:szCs w:val="24"/>
              </w:rPr>
              <w:lastRenderedPageBreak/>
              <w:t>wszystkich spraw wpływających do sądów, w których mediacja może być zastosowana.</w:t>
            </w:r>
          </w:p>
        </w:tc>
        <w:tc>
          <w:tcPr>
            <w:tcW w:w="1702" w:type="dxa"/>
            <w:vAlign w:val="center"/>
          </w:tcPr>
          <w:p w:rsidR="008A0846" w:rsidRPr="00D46ABD" w:rsidRDefault="00FA0C3A"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2,5%</w:t>
            </w:r>
          </w:p>
        </w:tc>
        <w:tc>
          <w:tcPr>
            <w:tcW w:w="1702" w:type="dxa"/>
            <w:vAlign w:val="center"/>
          </w:tcPr>
          <w:p w:rsidR="008A0846" w:rsidRPr="00D46ABD" w:rsidRDefault="00FA0C3A"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2,9%</w:t>
            </w:r>
          </w:p>
        </w:tc>
        <w:tc>
          <w:tcPr>
            <w:tcW w:w="3794" w:type="dxa"/>
            <w:vAlign w:val="center"/>
          </w:tcPr>
          <w:p w:rsidR="008A0846" w:rsidRPr="00EC7C26" w:rsidRDefault="00EC7C2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Promocja, propagowanie oraz wsparcie alternatywnych metod rozwiązywania sporów (ADR)</w:t>
            </w:r>
          </w:p>
        </w:tc>
        <w:tc>
          <w:tcPr>
            <w:tcW w:w="2727" w:type="dxa"/>
            <w:vAlign w:val="center"/>
          </w:tcPr>
          <w:p w:rsidR="00E11105" w:rsidRPr="00E11105" w:rsidRDefault="00E11105" w:rsidP="00E11105">
            <w:pPr>
              <w:spacing w:after="0"/>
              <w:rPr>
                <w:rFonts w:asciiTheme="minorHAnsi" w:hAnsiTheme="minorHAnsi" w:cstheme="minorHAnsi"/>
                <w:sz w:val="24"/>
                <w:szCs w:val="24"/>
              </w:rPr>
            </w:pPr>
            <w:r w:rsidRPr="00E11105">
              <w:rPr>
                <w:rFonts w:asciiTheme="minorHAnsi" w:hAnsiTheme="minorHAnsi" w:cstheme="minorHAnsi"/>
                <w:sz w:val="24"/>
                <w:szCs w:val="24"/>
              </w:rPr>
              <w:t>1.Spotkania informacyjne ze stałymi mediatorami.</w:t>
            </w:r>
          </w:p>
          <w:p w:rsidR="00E11105" w:rsidRPr="00E11105" w:rsidRDefault="00E11105" w:rsidP="00E11105">
            <w:pPr>
              <w:spacing w:after="0"/>
              <w:rPr>
                <w:rFonts w:asciiTheme="minorHAnsi" w:hAnsiTheme="minorHAnsi" w:cstheme="minorHAnsi"/>
                <w:sz w:val="24"/>
                <w:szCs w:val="24"/>
              </w:rPr>
            </w:pPr>
            <w:r w:rsidRPr="00E11105">
              <w:rPr>
                <w:rFonts w:asciiTheme="minorHAnsi" w:hAnsiTheme="minorHAnsi" w:cstheme="minorHAnsi"/>
                <w:sz w:val="24"/>
                <w:szCs w:val="24"/>
              </w:rPr>
              <w:lastRenderedPageBreak/>
              <w:t>2.Udostępnianie broszur informacyjnych na temat mediacji.</w:t>
            </w:r>
          </w:p>
          <w:p w:rsidR="008A0846" w:rsidRPr="00D46ABD" w:rsidRDefault="008A0846" w:rsidP="00DF2CB9">
            <w:pPr>
              <w:spacing w:after="0" w:line="240" w:lineRule="auto"/>
              <w:jc w:val="center"/>
              <w:rPr>
                <w:rFonts w:asciiTheme="minorHAnsi" w:hAnsiTheme="minorHAnsi" w:cstheme="minorHAnsi"/>
                <w:sz w:val="24"/>
                <w:szCs w:val="24"/>
              </w:rPr>
            </w:pPr>
          </w:p>
        </w:tc>
      </w:tr>
    </w:tbl>
    <w:p w:rsidR="0070403B" w:rsidRPr="00BE7960" w:rsidRDefault="00D3760D" w:rsidP="002352B9">
      <w:pPr>
        <w:spacing w:before="360" w:after="240"/>
        <w:rPr>
          <w:rFonts w:asciiTheme="minorHAnsi" w:hAnsiTheme="minorHAnsi" w:cstheme="minorHAnsi"/>
          <w:sz w:val="28"/>
          <w:szCs w:val="28"/>
        </w:rPr>
      </w:pPr>
      <w:r w:rsidRPr="00BE7960">
        <w:rPr>
          <w:rFonts w:asciiTheme="minorHAnsi" w:hAnsiTheme="minorHAnsi" w:cstheme="minorHAnsi"/>
          <w:sz w:val="28"/>
          <w:szCs w:val="28"/>
        </w:rPr>
        <w:lastRenderedPageBreak/>
        <w:t>Część D: Informacja dotycząca realizacji celów objętych planem działa</w:t>
      </w:r>
      <w:r w:rsidR="00C2677C">
        <w:rPr>
          <w:rFonts w:asciiTheme="minorHAnsi" w:hAnsiTheme="minorHAnsi" w:cstheme="minorHAnsi"/>
          <w:sz w:val="28"/>
          <w:szCs w:val="28"/>
        </w:rPr>
        <w:t>lności na rok 2022</w:t>
      </w:r>
    </w:p>
    <w:p w:rsidR="00BF382C" w:rsidRDefault="004D221F" w:rsidP="00C15ED5">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Zaplanowany w Celu 2</w:t>
      </w:r>
      <w:r w:rsidR="00D068C5">
        <w:rPr>
          <w:rFonts w:asciiTheme="minorHAnsi" w:hAnsiTheme="minorHAnsi" w:cstheme="minorHAnsi"/>
          <w:sz w:val="24"/>
          <w:szCs w:val="24"/>
        </w:rPr>
        <w:t xml:space="preserve"> miernik dot. Sprawności postępowania sądowego (wg metodologii CEPEJ)</w:t>
      </w:r>
      <w:r w:rsidR="008F104C" w:rsidRPr="009E713D">
        <w:rPr>
          <w:rFonts w:asciiTheme="minorHAnsi" w:hAnsiTheme="minorHAnsi" w:cstheme="minorHAnsi"/>
          <w:sz w:val="24"/>
          <w:szCs w:val="24"/>
        </w:rPr>
        <w:t xml:space="preserve"> </w:t>
      </w:r>
      <w:r w:rsidR="00D068C5">
        <w:rPr>
          <w:rFonts w:asciiTheme="minorHAnsi" w:hAnsiTheme="minorHAnsi" w:cstheme="minorHAnsi"/>
          <w:sz w:val="24"/>
          <w:szCs w:val="24"/>
        </w:rPr>
        <w:t>na koniec 2022</w:t>
      </w:r>
      <w:r w:rsidR="00086E72" w:rsidRPr="009E713D">
        <w:rPr>
          <w:rFonts w:asciiTheme="minorHAnsi" w:hAnsiTheme="minorHAnsi" w:cstheme="minorHAnsi"/>
          <w:sz w:val="24"/>
          <w:szCs w:val="24"/>
        </w:rPr>
        <w:t>r. nie został osiągnięty z uwa</w:t>
      </w:r>
      <w:r w:rsidR="00934742">
        <w:rPr>
          <w:rFonts w:asciiTheme="minorHAnsi" w:hAnsiTheme="minorHAnsi" w:cstheme="minorHAnsi"/>
          <w:sz w:val="24"/>
          <w:szCs w:val="24"/>
        </w:rPr>
        <w:t xml:space="preserve">gi na trudną sytuację kadrową. </w:t>
      </w:r>
      <w:r w:rsidR="00DB4ECF">
        <w:rPr>
          <w:rFonts w:asciiTheme="minorHAnsi" w:hAnsiTheme="minorHAnsi" w:cstheme="minorHAnsi"/>
          <w:sz w:val="24"/>
          <w:szCs w:val="24"/>
        </w:rPr>
        <w:t>W Sądzie Okręgowym w Radomiu na koniec 2022r.</w:t>
      </w:r>
      <w:r w:rsidR="00865014">
        <w:rPr>
          <w:rFonts w:asciiTheme="minorHAnsi" w:hAnsiTheme="minorHAnsi" w:cstheme="minorHAnsi"/>
          <w:sz w:val="24"/>
          <w:szCs w:val="24"/>
        </w:rPr>
        <w:t xml:space="preserve"> nie</w:t>
      </w:r>
      <w:r w:rsidR="002D2C1F">
        <w:rPr>
          <w:rFonts w:asciiTheme="minorHAnsi" w:hAnsiTheme="minorHAnsi" w:cstheme="minorHAnsi"/>
          <w:sz w:val="24"/>
          <w:szCs w:val="24"/>
        </w:rPr>
        <w:t>obsadzonych było</w:t>
      </w:r>
      <w:r w:rsidR="005A01CF">
        <w:rPr>
          <w:rFonts w:asciiTheme="minorHAnsi" w:hAnsiTheme="minorHAnsi" w:cstheme="minorHAnsi"/>
          <w:sz w:val="24"/>
          <w:szCs w:val="24"/>
        </w:rPr>
        <w:t xml:space="preserve"> siedem stanowisk sędziowskich, jeden</w:t>
      </w:r>
      <w:r w:rsidR="00865014">
        <w:rPr>
          <w:rFonts w:asciiTheme="minorHAnsi" w:hAnsiTheme="minorHAnsi" w:cstheme="minorHAnsi"/>
          <w:sz w:val="24"/>
          <w:szCs w:val="24"/>
        </w:rPr>
        <w:t xml:space="preserve"> etat specjalisty w Opiniodawczy</w:t>
      </w:r>
      <w:r w:rsidR="00E14D7A">
        <w:rPr>
          <w:rFonts w:asciiTheme="minorHAnsi" w:hAnsiTheme="minorHAnsi" w:cstheme="minorHAnsi"/>
          <w:sz w:val="24"/>
          <w:szCs w:val="24"/>
        </w:rPr>
        <w:t>m Zespole Sądowych Specjalistów. T</w:t>
      </w:r>
      <w:r w:rsidR="005A01CF">
        <w:rPr>
          <w:rFonts w:asciiTheme="minorHAnsi" w:hAnsiTheme="minorHAnsi" w:cstheme="minorHAnsi"/>
          <w:sz w:val="24"/>
          <w:szCs w:val="24"/>
        </w:rPr>
        <w:t>rzy</w:t>
      </w:r>
      <w:r w:rsidR="009979D6">
        <w:rPr>
          <w:rFonts w:asciiTheme="minorHAnsi" w:hAnsiTheme="minorHAnsi" w:cstheme="minorHAnsi"/>
          <w:sz w:val="24"/>
          <w:szCs w:val="24"/>
        </w:rPr>
        <w:t xml:space="preserve"> etaty urzędnicze zostały przeniesione do innych sądów.</w:t>
      </w:r>
      <w:r w:rsidR="008E4B6A">
        <w:rPr>
          <w:rFonts w:asciiTheme="minorHAnsi" w:hAnsiTheme="minorHAnsi" w:cstheme="minorHAnsi"/>
          <w:sz w:val="24"/>
          <w:szCs w:val="24"/>
        </w:rPr>
        <w:t xml:space="preserve"> W ramach stałej delegacji do Ministerstwa Sprawiedliwości </w:t>
      </w:r>
      <w:r w:rsidR="00934742">
        <w:rPr>
          <w:rFonts w:asciiTheme="minorHAnsi" w:hAnsiTheme="minorHAnsi" w:cstheme="minorHAnsi"/>
          <w:sz w:val="24"/>
          <w:szCs w:val="24"/>
        </w:rPr>
        <w:t xml:space="preserve">nadal </w:t>
      </w:r>
      <w:r w:rsidR="008E4B6A">
        <w:rPr>
          <w:rFonts w:asciiTheme="minorHAnsi" w:hAnsiTheme="minorHAnsi" w:cstheme="minorHAnsi"/>
          <w:sz w:val="24"/>
          <w:szCs w:val="24"/>
        </w:rPr>
        <w:t>delegowany jest jeden sędzia oraz asystent sędziego.</w:t>
      </w:r>
    </w:p>
    <w:p w:rsidR="00115CFC" w:rsidRPr="009E713D" w:rsidRDefault="00C524F2" w:rsidP="00C15ED5">
      <w:pPr>
        <w:spacing w:after="0" w:line="360" w:lineRule="auto"/>
        <w:ind w:firstLine="567"/>
        <w:contextualSpacing/>
        <w:jc w:val="both"/>
        <w:rPr>
          <w:rFonts w:asciiTheme="minorHAnsi" w:hAnsiTheme="minorHAnsi" w:cstheme="minorHAnsi"/>
          <w:sz w:val="24"/>
          <w:szCs w:val="24"/>
        </w:rPr>
      </w:pPr>
      <w:r>
        <w:rPr>
          <w:rFonts w:asciiTheme="minorHAnsi" w:hAnsiTheme="minorHAnsi" w:cstheme="minorHAnsi"/>
          <w:sz w:val="24"/>
          <w:szCs w:val="24"/>
        </w:rPr>
        <w:t>W związku z przejściem w stan spoczynku, d</w:t>
      </w:r>
      <w:r w:rsidR="00115CFC">
        <w:rPr>
          <w:rFonts w:asciiTheme="minorHAnsi" w:hAnsiTheme="minorHAnsi" w:cstheme="minorHAnsi"/>
          <w:sz w:val="24"/>
          <w:szCs w:val="24"/>
        </w:rPr>
        <w:t xml:space="preserve">wóch sędziów korzystało z </w:t>
      </w:r>
      <w:r w:rsidR="00115CFC" w:rsidRPr="00281107">
        <w:rPr>
          <w:rFonts w:asciiTheme="minorHAnsi" w:hAnsiTheme="minorHAnsi" w:cstheme="minorHAnsi"/>
          <w:sz w:val="24"/>
          <w:szCs w:val="24"/>
        </w:rPr>
        <w:t>zaległych urlopów wypoczynkowych w II półroczu 2022r. w</w:t>
      </w:r>
      <w:r w:rsidR="00115CFC">
        <w:rPr>
          <w:rFonts w:asciiTheme="minorHAnsi" w:hAnsiTheme="minorHAnsi" w:cstheme="minorHAnsi"/>
          <w:sz w:val="24"/>
          <w:szCs w:val="24"/>
        </w:rPr>
        <w:t xml:space="preserve"> </w:t>
      </w:r>
      <w:r w:rsidR="005A01CF">
        <w:rPr>
          <w:rFonts w:asciiTheme="minorHAnsi" w:hAnsiTheme="minorHAnsi" w:cstheme="minorHAnsi"/>
          <w:sz w:val="24"/>
          <w:szCs w:val="24"/>
        </w:rPr>
        <w:t>wymiarz</w:t>
      </w:r>
      <w:r>
        <w:rPr>
          <w:rFonts w:asciiTheme="minorHAnsi" w:hAnsiTheme="minorHAnsi" w:cstheme="minorHAnsi"/>
          <w:sz w:val="24"/>
          <w:szCs w:val="24"/>
        </w:rPr>
        <w:t>e 81 i 60 dni roboczych.</w:t>
      </w:r>
    </w:p>
    <w:p w:rsidR="00281107" w:rsidRDefault="00EE50C9" w:rsidP="00F01224">
      <w:pPr>
        <w:spacing w:after="0" w:line="360" w:lineRule="auto"/>
        <w:ind w:firstLine="567"/>
        <w:contextualSpacing/>
        <w:jc w:val="both"/>
        <w:rPr>
          <w:rFonts w:asciiTheme="minorHAnsi" w:hAnsiTheme="minorHAnsi" w:cstheme="minorHAnsi"/>
          <w:sz w:val="24"/>
          <w:szCs w:val="24"/>
        </w:rPr>
      </w:pPr>
      <w:r>
        <w:rPr>
          <w:rFonts w:asciiTheme="minorHAnsi" w:hAnsiTheme="minorHAnsi" w:cstheme="minorHAnsi"/>
          <w:sz w:val="24"/>
          <w:szCs w:val="24"/>
        </w:rPr>
        <w:t xml:space="preserve">Ponadto </w:t>
      </w:r>
      <w:r w:rsidR="00ED176B">
        <w:rPr>
          <w:rFonts w:asciiTheme="minorHAnsi" w:hAnsiTheme="minorHAnsi" w:cstheme="minorHAnsi"/>
          <w:sz w:val="24"/>
          <w:szCs w:val="24"/>
        </w:rPr>
        <w:t>przyczyn</w:t>
      </w:r>
      <w:r>
        <w:rPr>
          <w:rFonts w:asciiTheme="minorHAnsi" w:hAnsiTheme="minorHAnsi" w:cstheme="minorHAnsi"/>
          <w:sz w:val="24"/>
          <w:szCs w:val="24"/>
        </w:rPr>
        <w:t>ą</w:t>
      </w:r>
      <w:r w:rsidR="008F104C" w:rsidRPr="009E713D">
        <w:rPr>
          <w:rFonts w:asciiTheme="minorHAnsi" w:hAnsiTheme="minorHAnsi" w:cstheme="minorHAnsi"/>
          <w:sz w:val="24"/>
          <w:szCs w:val="24"/>
        </w:rPr>
        <w:t xml:space="preserve"> nieosiągnięcia zaplanowanego </w:t>
      </w:r>
      <w:r w:rsidR="00C2677C">
        <w:rPr>
          <w:rFonts w:asciiTheme="minorHAnsi" w:hAnsiTheme="minorHAnsi" w:cstheme="minorHAnsi"/>
          <w:sz w:val="24"/>
          <w:szCs w:val="24"/>
        </w:rPr>
        <w:t>miernika sprawności postępowań z</w:t>
      </w:r>
      <w:r w:rsidR="00ED176B">
        <w:rPr>
          <w:rFonts w:asciiTheme="minorHAnsi" w:hAnsiTheme="minorHAnsi" w:cstheme="minorHAnsi"/>
          <w:sz w:val="24"/>
          <w:szCs w:val="24"/>
        </w:rPr>
        <w:t>a rok 2022</w:t>
      </w:r>
      <w:r>
        <w:rPr>
          <w:rFonts w:asciiTheme="minorHAnsi" w:hAnsiTheme="minorHAnsi" w:cstheme="minorHAnsi"/>
          <w:sz w:val="24"/>
          <w:szCs w:val="24"/>
        </w:rPr>
        <w:t xml:space="preserve"> były</w:t>
      </w:r>
      <w:r w:rsidR="008F104C" w:rsidRPr="009E713D">
        <w:rPr>
          <w:rFonts w:asciiTheme="minorHAnsi" w:hAnsiTheme="minorHAnsi" w:cstheme="minorHAnsi"/>
          <w:sz w:val="24"/>
          <w:szCs w:val="24"/>
        </w:rPr>
        <w:t xml:space="preserve"> bardzo istotne pro</w:t>
      </w:r>
      <w:r w:rsidR="00BF382C">
        <w:rPr>
          <w:rFonts w:asciiTheme="minorHAnsi" w:hAnsiTheme="minorHAnsi" w:cstheme="minorHAnsi"/>
          <w:sz w:val="24"/>
          <w:szCs w:val="24"/>
        </w:rPr>
        <w:t xml:space="preserve">blemy związane z wykonywaniem </w:t>
      </w:r>
      <w:r w:rsidR="008F104C" w:rsidRPr="009E713D">
        <w:rPr>
          <w:rFonts w:asciiTheme="minorHAnsi" w:hAnsiTheme="minorHAnsi" w:cstheme="minorHAnsi"/>
          <w:sz w:val="24"/>
          <w:szCs w:val="24"/>
        </w:rPr>
        <w:t>opinii prz</w:t>
      </w:r>
      <w:r w:rsidR="00D5606A">
        <w:rPr>
          <w:rFonts w:asciiTheme="minorHAnsi" w:hAnsiTheme="minorHAnsi" w:cstheme="minorHAnsi"/>
          <w:sz w:val="24"/>
          <w:szCs w:val="24"/>
        </w:rPr>
        <w:t xml:space="preserve">ez biegłych sądowych. </w:t>
      </w:r>
      <w:r w:rsidR="00D5606A" w:rsidRPr="00D5606A">
        <w:rPr>
          <w:rFonts w:asciiTheme="minorHAnsi" w:hAnsiTheme="minorHAnsi" w:cstheme="minorHAnsi"/>
          <w:sz w:val="24"/>
          <w:szCs w:val="24"/>
        </w:rPr>
        <w:t>B</w:t>
      </w:r>
      <w:r w:rsidR="008F104C" w:rsidRPr="00D5606A">
        <w:rPr>
          <w:rFonts w:asciiTheme="minorHAnsi" w:hAnsiTheme="minorHAnsi" w:cstheme="minorHAnsi"/>
          <w:sz w:val="24"/>
          <w:szCs w:val="24"/>
        </w:rPr>
        <w:t>rak</w:t>
      </w:r>
      <w:r w:rsidR="008F104C" w:rsidRPr="009E713D">
        <w:rPr>
          <w:rFonts w:asciiTheme="minorHAnsi" w:hAnsiTheme="minorHAnsi" w:cstheme="minorHAnsi"/>
          <w:sz w:val="24"/>
          <w:szCs w:val="24"/>
        </w:rPr>
        <w:t xml:space="preserve"> jest biegłych sądowych </w:t>
      </w:r>
      <w:r w:rsidR="002D2C1F">
        <w:rPr>
          <w:rFonts w:asciiTheme="minorHAnsi" w:hAnsiTheme="minorHAnsi" w:cstheme="minorHAnsi"/>
          <w:sz w:val="24"/>
          <w:szCs w:val="24"/>
        </w:rPr>
        <w:t xml:space="preserve">z zakresu medycyny </w:t>
      </w:r>
      <w:r w:rsidR="008F104C" w:rsidRPr="009E713D">
        <w:rPr>
          <w:rFonts w:asciiTheme="minorHAnsi" w:hAnsiTheme="minorHAnsi" w:cstheme="minorHAnsi"/>
          <w:sz w:val="24"/>
          <w:szCs w:val="24"/>
        </w:rPr>
        <w:t>w zasadzie wszystkich specjalności. Sprawy</w:t>
      </w:r>
      <w:r w:rsidR="00934742">
        <w:rPr>
          <w:rFonts w:asciiTheme="minorHAnsi" w:hAnsiTheme="minorHAnsi" w:cstheme="minorHAnsi"/>
          <w:sz w:val="24"/>
          <w:szCs w:val="24"/>
        </w:rPr>
        <w:t>, w których dopuszczo</w:t>
      </w:r>
      <w:r w:rsidR="005A01CF">
        <w:rPr>
          <w:rFonts w:asciiTheme="minorHAnsi" w:hAnsiTheme="minorHAnsi" w:cstheme="minorHAnsi"/>
          <w:sz w:val="24"/>
          <w:szCs w:val="24"/>
        </w:rPr>
        <w:t xml:space="preserve">no </w:t>
      </w:r>
      <w:r w:rsidR="00934742">
        <w:rPr>
          <w:rFonts w:asciiTheme="minorHAnsi" w:hAnsiTheme="minorHAnsi" w:cstheme="minorHAnsi"/>
          <w:sz w:val="24"/>
          <w:szCs w:val="24"/>
        </w:rPr>
        <w:t>dowód z opinii biegłych</w:t>
      </w:r>
      <w:r w:rsidR="008F104C" w:rsidRPr="009E713D">
        <w:rPr>
          <w:rFonts w:asciiTheme="minorHAnsi" w:hAnsiTheme="minorHAnsi" w:cstheme="minorHAnsi"/>
          <w:sz w:val="24"/>
          <w:szCs w:val="24"/>
        </w:rPr>
        <w:t xml:space="preserve"> kierowane </w:t>
      </w:r>
      <w:r w:rsidR="009979D6">
        <w:rPr>
          <w:rFonts w:asciiTheme="minorHAnsi" w:hAnsiTheme="minorHAnsi" w:cstheme="minorHAnsi"/>
          <w:sz w:val="24"/>
          <w:szCs w:val="24"/>
        </w:rPr>
        <w:t>były</w:t>
      </w:r>
      <w:r w:rsidR="00934742">
        <w:rPr>
          <w:rFonts w:asciiTheme="minorHAnsi" w:hAnsiTheme="minorHAnsi" w:cstheme="minorHAnsi"/>
          <w:sz w:val="24"/>
          <w:szCs w:val="24"/>
        </w:rPr>
        <w:t xml:space="preserve"> do innych sądów</w:t>
      </w:r>
      <w:r w:rsidR="008F104C" w:rsidRPr="009E713D">
        <w:rPr>
          <w:rFonts w:asciiTheme="minorHAnsi" w:hAnsiTheme="minorHAnsi" w:cstheme="minorHAnsi"/>
          <w:sz w:val="24"/>
          <w:szCs w:val="24"/>
        </w:rPr>
        <w:t xml:space="preserve"> w cel</w:t>
      </w:r>
      <w:r w:rsidR="00CF3987">
        <w:rPr>
          <w:rFonts w:asciiTheme="minorHAnsi" w:hAnsiTheme="minorHAnsi" w:cstheme="minorHAnsi"/>
          <w:sz w:val="24"/>
          <w:szCs w:val="24"/>
        </w:rPr>
        <w:t xml:space="preserve">u wydania opinii </w:t>
      </w:r>
      <w:r w:rsidR="008F104C" w:rsidRPr="009E713D">
        <w:rPr>
          <w:rFonts w:asciiTheme="minorHAnsi" w:hAnsiTheme="minorHAnsi" w:cstheme="minorHAnsi"/>
          <w:sz w:val="24"/>
          <w:szCs w:val="24"/>
        </w:rPr>
        <w:t xml:space="preserve">w drodze pomocy sądowej. </w:t>
      </w:r>
      <w:r>
        <w:rPr>
          <w:rFonts w:asciiTheme="minorHAnsi" w:hAnsiTheme="minorHAnsi" w:cstheme="minorHAnsi"/>
          <w:sz w:val="24"/>
          <w:szCs w:val="24"/>
        </w:rPr>
        <w:t>W sprawach wykonywa</w:t>
      </w:r>
      <w:r w:rsidR="007E35F0">
        <w:rPr>
          <w:rFonts w:asciiTheme="minorHAnsi" w:hAnsiTheme="minorHAnsi" w:cstheme="minorHAnsi"/>
          <w:sz w:val="24"/>
          <w:szCs w:val="24"/>
        </w:rPr>
        <w:t>ne były</w:t>
      </w:r>
      <w:r>
        <w:rPr>
          <w:rFonts w:asciiTheme="minorHAnsi" w:hAnsiTheme="minorHAnsi" w:cstheme="minorHAnsi"/>
          <w:sz w:val="24"/>
          <w:szCs w:val="24"/>
        </w:rPr>
        <w:t xml:space="preserve"> </w:t>
      </w:r>
      <w:r w:rsidR="00386380">
        <w:rPr>
          <w:rFonts w:asciiTheme="minorHAnsi" w:hAnsiTheme="minorHAnsi" w:cstheme="minorHAnsi"/>
          <w:sz w:val="24"/>
          <w:szCs w:val="24"/>
        </w:rPr>
        <w:t>opinie przez lekarzy różnych specjalności i zeb</w:t>
      </w:r>
      <w:r w:rsidR="006211C7">
        <w:rPr>
          <w:rFonts w:asciiTheme="minorHAnsi" w:hAnsiTheme="minorHAnsi" w:cstheme="minorHAnsi"/>
          <w:sz w:val="24"/>
          <w:szCs w:val="24"/>
        </w:rPr>
        <w:t>ranie wszystkich opinii powodowało</w:t>
      </w:r>
      <w:r w:rsidR="00386380">
        <w:rPr>
          <w:rFonts w:asciiTheme="minorHAnsi" w:hAnsiTheme="minorHAnsi" w:cstheme="minorHAnsi"/>
          <w:sz w:val="24"/>
          <w:szCs w:val="24"/>
        </w:rPr>
        <w:t xml:space="preserve"> znaczny upływ czasu.</w:t>
      </w:r>
    </w:p>
    <w:p w:rsidR="00F00EEC" w:rsidRPr="009E713D" w:rsidRDefault="00AA1679" w:rsidP="00F01224">
      <w:pPr>
        <w:spacing w:after="0" w:line="360" w:lineRule="auto"/>
        <w:ind w:firstLine="567"/>
        <w:contextualSpacing/>
        <w:jc w:val="both"/>
        <w:rPr>
          <w:rFonts w:asciiTheme="minorHAnsi" w:hAnsiTheme="minorHAnsi" w:cstheme="minorHAnsi"/>
          <w:sz w:val="24"/>
          <w:szCs w:val="24"/>
        </w:rPr>
      </w:pPr>
      <w:r>
        <w:rPr>
          <w:rFonts w:asciiTheme="minorHAnsi" w:hAnsiTheme="minorHAnsi" w:cstheme="minorHAnsi"/>
          <w:sz w:val="24"/>
          <w:szCs w:val="24"/>
        </w:rPr>
        <w:t>Ogółem do Sądu Okręgowego w Radomiu w 2022r. wpłynęło  13</w:t>
      </w:r>
      <w:r w:rsidR="009979D6">
        <w:rPr>
          <w:rFonts w:asciiTheme="minorHAnsi" w:hAnsiTheme="minorHAnsi" w:cstheme="minorHAnsi"/>
          <w:sz w:val="24"/>
          <w:szCs w:val="24"/>
        </w:rPr>
        <w:t xml:space="preserve"> </w:t>
      </w:r>
      <w:r w:rsidR="00824F6A">
        <w:rPr>
          <w:rFonts w:asciiTheme="minorHAnsi" w:hAnsiTheme="minorHAnsi" w:cstheme="minorHAnsi"/>
          <w:sz w:val="24"/>
          <w:szCs w:val="24"/>
        </w:rPr>
        <w:t>434 sprawy, tj. o</w:t>
      </w:r>
      <w:r>
        <w:rPr>
          <w:rFonts w:asciiTheme="minorHAnsi" w:hAnsiTheme="minorHAnsi" w:cstheme="minorHAnsi"/>
          <w:sz w:val="24"/>
          <w:szCs w:val="24"/>
        </w:rPr>
        <w:t xml:space="preserve"> 326 spraw więcej niż w 2021r.</w:t>
      </w:r>
      <w:r w:rsidR="003459DE" w:rsidRPr="009E713D">
        <w:rPr>
          <w:rFonts w:asciiTheme="minorHAnsi" w:hAnsiTheme="minorHAnsi" w:cstheme="minorHAnsi"/>
          <w:sz w:val="24"/>
          <w:szCs w:val="24"/>
        </w:rPr>
        <w:t xml:space="preserve"> </w:t>
      </w:r>
    </w:p>
    <w:p w:rsidR="003459DE" w:rsidRDefault="003459D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103D7A" w:rsidRPr="009E713D" w:rsidRDefault="00612F8E" w:rsidP="00614611">
      <w:pPr>
        <w:spacing w:before="120" w:after="0" w:line="360" w:lineRule="auto"/>
        <w:ind w:left="8931"/>
        <w:rPr>
          <w:rFonts w:asciiTheme="minorHAnsi" w:hAnsiTheme="minorHAnsi" w:cstheme="minorHAnsi"/>
          <w:sz w:val="24"/>
          <w:szCs w:val="24"/>
        </w:rPr>
      </w:pPr>
      <w:r w:rsidRPr="009E713D">
        <w:rPr>
          <w:rFonts w:asciiTheme="minorHAnsi" w:hAnsiTheme="minorHAnsi" w:cstheme="minorHAnsi"/>
          <w:sz w:val="24"/>
          <w:szCs w:val="24"/>
        </w:rPr>
        <w:lastRenderedPageBreak/>
        <w:t xml:space="preserve">Prezes </w:t>
      </w:r>
    </w:p>
    <w:p w:rsidR="00612F8E" w:rsidRPr="009E713D" w:rsidRDefault="00612F8E" w:rsidP="00C15ED5">
      <w:pPr>
        <w:spacing w:after="0" w:line="360" w:lineRule="auto"/>
        <w:ind w:left="8931"/>
        <w:rPr>
          <w:rFonts w:asciiTheme="minorHAnsi" w:hAnsiTheme="minorHAnsi" w:cstheme="minorHAnsi"/>
          <w:sz w:val="24"/>
          <w:szCs w:val="24"/>
        </w:rPr>
      </w:pPr>
      <w:r w:rsidRPr="009E713D">
        <w:rPr>
          <w:rFonts w:asciiTheme="minorHAnsi" w:hAnsiTheme="minorHAnsi" w:cstheme="minorHAnsi"/>
          <w:sz w:val="24"/>
          <w:szCs w:val="24"/>
        </w:rPr>
        <w:t>Sądu Okręgowego</w:t>
      </w:r>
      <w:r w:rsidR="008F104C" w:rsidRPr="009E713D">
        <w:rPr>
          <w:rFonts w:asciiTheme="minorHAnsi" w:hAnsiTheme="minorHAnsi" w:cstheme="minorHAnsi"/>
          <w:sz w:val="24"/>
          <w:szCs w:val="24"/>
        </w:rPr>
        <w:t xml:space="preserve"> w Radomiu</w:t>
      </w:r>
    </w:p>
    <w:p w:rsidR="00612F8E" w:rsidRPr="009E713D" w:rsidRDefault="00612F8E" w:rsidP="00C15ED5">
      <w:pPr>
        <w:spacing w:after="0" w:line="360" w:lineRule="auto"/>
        <w:ind w:left="8931"/>
        <w:rPr>
          <w:rFonts w:asciiTheme="minorHAnsi" w:hAnsiTheme="minorHAnsi" w:cstheme="minorHAnsi"/>
          <w:sz w:val="24"/>
          <w:szCs w:val="24"/>
        </w:rPr>
      </w:pPr>
      <w:r w:rsidRPr="009E713D">
        <w:rPr>
          <w:rFonts w:asciiTheme="minorHAnsi" w:hAnsiTheme="minorHAnsi" w:cstheme="minorHAnsi"/>
          <w:sz w:val="24"/>
          <w:szCs w:val="24"/>
        </w:rPr>
        <w:t>Marta Łobodzińska</w:t>
      </w:r>
    </w:p>
    <w:p w:rsidR="00612F8E" w:rsidRPr="009E713D" w:rsidRDefault="00D828A0" w:rsidP="001F5883">
      <w:pPr>
        <w:spacing w:after="480" w:line="360" w:lineRule="auto"/>
        <w:ind w:left="8931"/>
        <w:rPr>
          <w:rFonts w:asciiTheme="minorHAnsi" w:hAnsiTheme="minorHAnsi" w:cstheme="minorHAnsi"/>
          <w:sz w:val="24"/>
          <w:szCs w:val="24"/>
        </w:rPr>
      </w:pPr>
      <w:r w:rsidRPr="009E713D">
        <w:rPr>
          <w:rFonts w:asciiTheme="minorHAnsi" w:hAnsiTheme="minorHAnsi" w:cstheme="minorHAnsi"/>
          <w:sz w:val="24"/>
          <w:szCs w:val="24"/>
        </w:rPr>
        <w:t>/</w:t>
      </w:r>
      <w:r w:rsidR="001F5883" w:rsidRPr="009E713D">
        <w:rPr>
          <w:rFonts w:asciiTheme="minorHAnsi" w:hAnsiTheme="minorHAnsi" w:cstheme="minorHAnsi"/>
          <w:sz w:val="24"/>
          <w:szCs w:val="24"/>
        </w:rPr>
        <w:t xml:space="preserve">-/ </w:t>
      </w:r>
      <w:r w:rsidR="00C15ED5" w:rsidRPr="009E713D">
        <w:rPr>
          <w:rFonts w:asciiTheme="minorHAnsi" w:hAnsiTheme="minorHAnsi" w:cstheme="minorHAnsi"/>
          <w:sz w:val="24"/>
          <w:szCs w:val="24"/>
        </w:rPr>
        <w:t xml:space="preserve">Na oryginale właściwy </w:t>
      </w:r>
      <w:r w:rsidR="001F5883" w:rsidRPr="009E713D">
        <w:rPr>
          <w:rFonts w:asciiTheme="minorHAnsi" w:hAnsiTheme="minorHAnsi" w:cstheme="minorHAnsi"/>
          <w:sz w:val="24"/>
          <w:szCs w:val="24"/>
        </w:rPr>
        <w:t>podpis</w:t>
      </w:r>
    </w:p>
    <w:p w:rsidR="00612F8E" w:rsidRPr="009E713D" w:rsidRDefault="00612F8E" w:rsidP="00C15ED5">
      <w:pPr>
        <w:tabs>
          <w:tab w:val="left" w:pos="5103"/>
        </w:tabs>
        <w:spacing w:after="0" w:line="360" w:lineRule="auto"/>
        <w:ind w:left="8931"/>
        <w:jc w:val="both"/>
        <w:rPr>
          <w:rFonts w:asciiTheme="minorHAnsi" w:hAnsiTheme="minorHAnsi" w:cstheme="minorHAnsi"/>
          <w:sz w:val="24"/>
          <w:szCs w:val="24"/>
        </w:rPr>
      </w:pPr>
      <w:r w:rsidRPr="009E713D">
        <w:rPr>
          <w:rFonts w:asciiTheme="minorHAnsi" w:hAnsiTheme="minorHAnsi" w:cstheme="minorHAnsi"/>
          <w:sz w:val="24"/>
          <w:szCs w:val="24"/>
        </w:rPr>
        <w:t>Dy</w:t>
      </w:r>
      <w:r w:rsidR="0070403B" w:rsidRPr="009E713D">
        <w:rPr>
          <w:rFonts w:asciiTheme="minorHAnsi" w:hAnsiTheme="minorHAnsi" w:cstheme="minorHAnsi"/>
          <w:sz w:val="24"/>
          <w:szCs w:val="24"/>
        </w:rPr>
        <w:t>rektor</w:t>
      </w:r>
      <w:r w:rsidRPr="009E713D">
        <w:rPr>
          <w:rFonts w:asciiTheme="minorHAnsi" w:hAnsiTheme="minorHAnsi" w:cstheme="minorHAnsi"/>
          <w:sz w:val="24"/>
          <w:szCs w:val="24"/>
        </w:rPr>
        <w:t xml:space="preserve"> Sądu Okręgowego w Radomiu</w:t>
      </w:r>
    </w:p>
    <w:p w:rsidR="00612F8E" w:rsidRPr="009E713D" w:rsidRDefault="00555F07" w:rsidP="00C15ED5">
      <w:pPr>
        <w:tabs>
          <w:tab w:val="left" w:pos="5103"/>
        </w:tabs>
        <w:spacing w:after="0" w:line="360" w:lineRule="auto"/>
        <w:ind w:left="8931"/>
        <w:jc w:val="both"/>
        <w:rPr>
          <w:rFonts w:asciiTheme="minorHAnsi" w:hAnsiTheme="minorHAnsi" w:cstheme="minorHAnsi"/>
          <w:sz w:val="24"/>
          <w:szCs w:val="24"/>
        </w:rPr>
      </w:pPr>
      <w:r>
        <w:rPr>
          <w:rFonts w:asciiTheme="minorHAnsi" w:hAnsiTheme="minorHAnsi" w:cstheme="minorHAnsi"/>
          <w:sz w:val="24"/>
          <w:szCs w:val="24"/>
        </w:rPr>
        <w:t>Łukasz Kulesza</w:t>
      </w:r>
    </w:p>
    <w:p w:rsidR="00612F8E" w:rsidRPr="009E713D" w:rsidRDefault="00D828A0" w:rsidP="00C15ED5">
      <w:pPr>
        <w:tabs>
          <w:tab w:val="left" w:pos="5103"/>
        </w:tabs>
        <w:spacing w:after="0" w:line="360" w:lineRule="auto"/>
        <w:ind w:left="8931"/>
        <w:jc w:val="both"/>
        <w:rPr>
          <w:rFonts w:asciiTheme="minorHAnsi" w:hAnsiTheme="minorHAnsi" w:cstheme="minorHAnsi"/>
          <w:sz w:val="24"/>
          <w:szCs w:val="24"/>
        </w:rPr>
      </w:pPr>
      <w:r w:rsidRPr="009E713D">
        <w:rPr>
          <w:rFonts w:asciiTheme="minorHAnsi" w:hAnsiTheme="minorHAnsi" w:cstheme="minorHAnsi"/>
          <w:sz w:val="24"/>
          <w:szCs w:val="24"/>
        </w:rPr>
        <w:t>/</w:t>
      </w:r>
      <w:r w:rsidR="001F5883" w:rsidRPr="009E713D">
        <w:rPr>
          <w:rFonts w:asciiTheme="minorHAnsi" w:hAnsiTheme="minorHAnsi" w:cstheme="minorHAnsi"/>
          <w:sz w:val="24"/>
          <w:szCs w:val="24"/>
        </w:rPr>
        <w:t>-/ Na oryginale właściwy podpis</w:t>
      </w:r>
    </w:p>
    <w:p w:rsidR="00C2667E" w:rsidRPr="009E713D" w:rsidRDefault="001F5883" w:rsidP="00C15ED5">
      <w:pPr>
        <w:spacing w:after="0" w:line="360" w:lineRule="auto"/>
        <w:rPr>
          <w:rFonts w:asciiTheme="minorHAnsi" w:hAnsiTheme="minorHAnsi" w:cstheme="minorHAnsi"/>
          <w:sz w:val="24"/>
          <w:szCs w:val="24"/>
        </w:rPr>
      </w:pPr>
      <w:r w:rsidRPr="009E713D">
        <w:rPr>
          <w:rFonts w:asciiTheme="minorHAnsi" w:hAnsiTheme="minorHAnsi" w:cstheme="minorHAnsi"/>
          <w:sz w:val="24"/>
          <w:szCs w:val="24"/>
        </w:rPr>
        <w:t>R</w:t>
      </w:r>
      <w:r w:rsidR="004E3103" w:rsidRPr="009E713D">
        <w:rPr>
          <w:rFonts w:asciiTheme="minorHAnsi" w:hAnsiTheme="minorHAnsi" w:cstheme="minorHAnsi"/>
          <w:sz w:val="24"/>
          <w:szCs w:val="24"/>
        </w:rPr>
        <w:t xml:space="preserve">adom, </w:t>
      </w:r>
      <w:r w:rsidR="00FA1C90" w:rsidRPr="009E713D">
        <w:rPr>
          <w:rFonts w:asciiTheme="minorHAnsi" w:hAnsiTheme="minorHAnsi" w:cstheme="minorHAnsi"/>
          <w:sz w:val="24"/>
          <w:szCs w:val="24"/>
        </w:rPr>
        <w:t>dnia</w:t>
      </w:r>
      <w:r w:rsidR="00B00A56">
        <w:rPr>
          <w:rFonts w:asciiTheme="minorHAnsi" w:hAnsiTheme="minorHAnsi" w:cstheme="minorHAnsi"/>
          <w:sz w:val="24"/>
          <w:szCs w:val="24"/>
        </w:rPr>
        <w:t xml:space="preserve"> 8 marca </w:t>
      </w:r>
      <w:r w:rsidR="00555F07">
        <w:rPr>
          <w:rFonts w:asciiTheme="minorHAnsi" w:hAnsiTheme="minorHAnsi" w:cstheme="minorHAnsi"/>
          <w:sz w:val="24"/>
          <w:szCs w:val="24"/>
        </w:rPr>
        <w:t>2023</w:t>
      </w:r>
      <w:r w:rsidR="004E3103" w:rsidRPr="009E713D">
        <w:rPr>
          <w:rFonts w:asciiTheme="minorHAnsi" w:hAnsiTheme="minorHAnsi" w:cstheme="minorHAnsi"/>
          <w:sz w:val="24"/>
          <w:szCs w:val="24"/>
        </w:rPr>
        <w:t>r.</w:t>
      </w:r>
    </w:p>
    <w:sectPr w:rsidR="00C2667E" w:rsidRPr="009E713D" w:rsidSect="00BC2674">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98" w:rsidRDefault="00CB6098" w:rsidP="00C15ED5">
      <w:pPr>
        <w:spacing w:after="0" w:line="240" w:lineRule="auto"/>
      </w:pPr>
      <w:r>
        <w:separator/>
      </w:r>
    </w:p>
  </w:endnote>
  <w:endnote w:type="continuationSeparator" w:id="0">
    <w:p w:rsidR="00CB6098" w:rsidRDefault="00CB6098" w:rsidP="00C1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98" w:rsidRDefault="00CB6098" w:rsidP="00C15ED5">
      <w:pPr>
        <w:spacing w:after="0" w:line="240" w:lineRule="auto"/>
      </w:pPr>
      <w:r>
        <w:separator/>
      </w:r>
    </w:p>
  </w:footnote>
  <w:footnote w:type="continuationSeparator" w:id="0">
    <w:p w:rsidR="00CB6098" w:rsidRDefault="00CB6098" w:rsidP="00C15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5" w:rsidRDefault="00C15E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110F"/>
    <w:multiLevelType w:val="hybridMultilevel"/>
    <w:tmpl w:val="06C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7A"/>
    <w:rsid w:val="00004E31"/>
    <w:rsid w:val="000130E5"/>
    <w:rsid w:val="000169B1"/>
    <w:rsid w:val="000273A3"/>
    <w:rsid w:val="0004699F"/>
    <w:rsid w:val="00086E72"/>
    <w:rsid w:val="000B2728"/>
    <w:rsid w:val="00103D7A"/>
    <w:rsid w:val="00115666"/>
    <w:rsid w:val="00115CFC"/>
    <w:rsid w:val="0014735F"/>
    <w:rsid w:val="00166D5D"/>
    <w:rsid w:val="00175BB5"/>
    <w:rsid w:val="00187CCE"/>
    <w:rsid w:val="001B3EC0"/>
    <w:rsid w:val="001D5145"/>
    <w:rsid w:val="001F5883"/>
    <w:rsid w:val="001F7EF0"/>
    <w:rsid w:val="00200124"/>
    <w:rsid w:val="00232200"/>
    <w:rsid w:val="002352B9"/>
    <w:rsid w:val="00281107"/>
    <w:rsid w:val="002A5A99"/>
    <w:rsid w:val="002C26CC"/>
    <w:rsid w:val="002D2C1F"/>
    <w:rsid w:val="002D36FF"/>
    <w:rsid w:val="002F21F1"/>
    <w:rsid w:val="00310B5B"/>
    <w:rsid w:val="00311749"/>
    <w:rsid w:val="00313F31"/>
    <w:rsid w:val="003267C7"/>
    <w:rsid w:val="003267F3"/>
    <w:rsid w:val="00337408"/>
    <w:rsid w:val="00343F5D"/>
    <w:rsid w:val="003459DE"/>
    <w:rsid w:val="00356487"/>
    <w:rsid w:val="00366FFA"/>
    <w:rsid w:val="00374CA3"/>
    <w:rsid w:val="00386380"/>
    <w:rsid w:val="003960DF"/>
    <w:rsid w:val="00396D00"/>
    <w:rsid w:val="003A3B43"/>
    <w:rsid w:val="003D1DDC"/>
    <w:rsid w:val="003E2319"/>
    <w:rsid w:val="003E5AA1"/>
    <w:rsid w:val="003F239A"/>
    <w:rsid w:val="00417B15"/>
    <w:rsid w:val="004209D8"/>
    <w:rsid w:val="004872D9"/>
    <w:rsid w:val="004A6767"/>
    <w:rsid w:val="004B6555"/>
    <w:rsid w:val="004D221F"/>
    <w:rsid w:val="004E3103"/>
    <w:rsid w:val="004F0A35"/>
    <w:rsid w:val="00525058"/>
    <w:rsid w:val="00531788"/>
    <w:rsid w:val="005447BF"/>
    <w:rsid w:val="00555F07"/>
    <w:rsid w:val="005631B1"/>
    <w:rsid w:val="00563490"/>
    <w:rsid w:val="005732EE"/>
    <w:rsid w:val="00596F26"/>
    <w:rsid w:val="005A01CF"/>
    <w:rsid w:val="005C700C"/>
    <w:rsid w:val="005F7576"/>
    <w:rsid w:val="00612F8E"/>
    <w:rsid w:val="00614611"/>
    <w:rsid w:val="006211C7"/>
    <w:rsid w:val="00660670"/>
    <w:rsid w:val="0069684D"/>
    <w:rsid w:val="006B2301"/>
    <w:rsid w:val="006C1AF6"/>
    <w:rsid w:val="006C74B7"/>
    <w:rsid w:val="0070403B"/>
    <w:rsid w:val="00754D64"/>
    <w:rsid w:val="007D616E"/>
    <w:rsid w:val="007D792D"/>
    <w:rsid w:val="007E35F0"/>
    <w:rsid w:val="007F062B"/>
    <w:rsid w:val="007F788C"/>
    <w:rsid w:val="00806643"/>
    <w:rsid w:val="008148BD"/>
    <w:rsid w:val="00817E4C"/>
    <w:rsid w:val="0082459C"/>
    <w:rsid w:val="00824F6A"/>
    <w:rsid w:val="0084057D"/>
    <w:rsid w:val="0085358E"/>
    <w:rsid w:val="00865014"/>
    <w:rsid w:val="008A0846"/>
    <w:rsid w:val="008A78F5"/>
    <w:rsid w:val="008E4B6A"/>
    <w:rsid w:val="008F104C"/>
    <w:rsid w:val="008F14CE"/>
    <w:rsid w:val="00934742"/>
    <w:rsid w:val="0093627C"/>
    <w:rsid w:val="00954E27"/>
    <w:rsid w:val="00965076"/>
    <w:rsid w:val="009979D6"/>
    <w:rsid w:val="00997CE4"/>
    <w:rsid w:val="009B32BE"/>
    <w:rsid w:val="009E713D"/>
    <w:rsid w:val="009F321E"/>
    <w:rsid w:val="00A05B01"/>
    <w:rsid w:val="00A1546C"/>
    <w:rsid w:val="00A20AA3"/>
    <w:rsid w:val="00A477DA"/>
    <w:rsid w:val="00A670EC"/>
    <w:rsid w:val="00A70B36"/>
    <w:rsid w:val="00A93C66"/>
    <w:rsid w:val="00AA1679"/>
    <w:rsid w:val="00B00A56"/>
    <w:rsid w:val="00B01B6A"/>
    <w:rsid w:val="00B10F88"/>
    <w:rsid w:val="00B21559"/>
    <w:rsid w:val="00B3339D"/>
    <w:rsid w:val="00B512C0"/>
    <w:rsid w:val="00B51ACE"/>
    <w:rsid w:val="00B709B5"/>
    <w:rsid w:val="00B823E5"/>
    <w:rsid w:val="00B855F8"/>
    <w:rsid w:val="00B97FB3"/>
    <w:rsid w:val="00BB0894"/>
    <w:rsid w:val="00BB6721"/>
    <w:rsid w:val="00BC2674"/>
    <w:rsid w:val="00BC6F1A"/>
    <w:rsid w:val="00BE2CCF"/>
    <w:rsid w:val="00BE7960"/>
    <w:rsid w:val="00BF382C"/>
    <w:rsid w:val="00C15ED5"/>
    <w:rsid w:val="00C2667E"/>
    <w:rsid w:val="00C2677C"/>
    <w:rsid w:val="00C348BD"/>
    <w:rsid w:val="00C524F2"/>
    <w:rsid w:val="00C538E6"/>
    <w:rsid w:val="00C573F3"/>
    <w:rsid w:val="00C73E42"/>
    <w:rsid w:val="00CA789B"/>
    <w:rsid w:val="00CB6098"/>
    <w:rsid w:val="00CF0FF4"/>
    <w:rsid w:val="00CF3987"/>
    <w:rsid w:val="00D068C5"/>
    <w:rsid w:val="00D3760D"/>
    <w:rsid w:val="00D46ABD"/>
    <w:rsid w:val="00D5606A"/>
    <w:rsid w:val="00D57174"/>
    <w:rsid w:val="00D74962"/>
    <w:rsid w:val="00D828A0"/>
    <w:rsid w:val="00D93FC5"/>
    <w:rsid w:val="00DA281F"/>
    <w:rsid w:val="00DA6487"/>
    <w:rsid w:val="00DB4ECF"/>
    <w:rsid w:val="00DC5D8E"/>
    <w:rsid w:val="00DF00ED"/>
    <w:rsid w:val="00DF2CB9"/>
    <w:rsid w:val="00E11105"/>
    <w:rsid w:val="00E14D7A"/>
    <w:rsid w:val="00E316F7"/>
    <w:rsid w:val="00E47F98"/>
    <w:rsid w:val="00E67B89"/>
    <w:rsid w:val="00E75B9B"/>
    <w:rsid w:val="00E83731"/>
    <w:rsid w:val="00E864C3"/>
    <w:rsid w:val="00EA5D98"/>
    <w:rsid w:val="00EB064A"/>
    <w:rsid w:val="00EB0B27"/>
    <w:rsid w:val="00EC7C26"/>
    <w:rsid w:val="00ED176B"/>
    <w:rsid w:val="00EE50C9"/>
    <w:rsid w:val="00EE5989"/>
    <w:rsid w:val="00F00EEC"/>
    <w:rsid w:val="00F01224"/>
    <w:rsid w:val="00F55956"/>
    <w:rsid w:val="00FA0C3A"/>
    <w:rsid w:val="00FA1C90"/>
    <w:rsid w:val="00FF4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A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C5D8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C5D8E"/>
    <w:rPr>
      <w:rFonts w:ascii="Tahoma" w:hAnsi="Tahoma" w:cs="Tahoma"/>
      <w:sz w:val="16"/>
      <w:szCs w:val="16"/>
      <w:lang w:eastAsia="en-US"/>
    </w:rPr>
  </w:style>
  <w:style w:type="paragraph" w:styleId="Nagwek">
    <w:name w:val="header"/>
    <w:basedOn w:val="Normalny"/>
    <w:link w:val="NagwekZnak"/>
    <w:uiPriority w:val="99"/>
    <w:unhideWhenUsed/>
    <w:rsid w:val="00C15ED5"/>
    <w:pPr>
      <w:tabs>
        <w:tab w:val="center" w:pos="4536"/>
        <w:tab w:val="right" w:pos="9072"/>
      </w:tabs>
    </w:pPr>
  </w:style>
  <w:style w:type="character" w:customStyle="1" w:styleId="NagwekZnak">
    <w:name w:val="Nagłówek Znak"/>
    <w:basedOn w:val="Domylnaczcionkaakapitu"/>
    <w:link w:val="Nagwek"/>
    <w:uiPriority w:val="99"/>
    <w:rsid w:val="00C15ED5"/>
    <w:rPr>
      <w:sz w:val="22"/>
      <w:szCs w:val="22"/>
      <w:lang w:eastAsia="en-US"/>
    </w:rPr>
  </w:style>
  <w:style w:type="paragraph" w:styleId="Stopka">
    <w:name w:val="footer"/>
    <w:basedOn w:val="Normalny"/>
    <w:link w:val="StopkaZnak"/>
    <w:uiPriority w:val="99"/>
    <w:unhideWhenUsed/>
    <w:rsid w:val="00C15ED5"/>
    <w:pPr>
      <w:tabs>
        <w:tab w:val="center" w:pos="4536"/>
        <w:tab w:val="right" w:pos="9072"/>
      </w:tabs>
    </w:pPr>
  </w:style>
  <w:style w:type="character" w:customStyle="1" w:styleId="StopkaZnak">
    <w:name w:val="Stopka Znak"/>
    <w:basedOn w:val="Domylnaczcionkaakapitu"/>
    <w:link w:val="Stopka"/>
    <w:uiPriority w:val="99"/>
    <w:rsid w:val="00C15ED5"/>
    <w:rPr>
      <w:sz w:val="22"/>
      <w:szCs w:val="22"/>
      <w:lang w:eastAsia="en-US"/>
    </w:rPr>
  </w:style>
  <w:style w:type="paragraph" w:styleId="Tekstprzypisukocowego">
    <w:name w:val="endnote text"/>
    <w:basedOn w:val="Normalny"/>
    <w:link w:val="TekstprzypisukocowegoZnak"/>
    <w:uiPriority w:val="99"/>
    <w:semiHidden/>
    <w:unhideWhenUsed/>
    <w:rsid w:val="009979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9D6"/>
    <w:rPr>
      <w:lang w:eastAsia="en-US"/>
    </w:rPr>
  </w:style>
  <w:style w:type="character" w:styleId="Odwoanieprzypisukocowego">
    <w:name w:val="endnote reference"/>
    <w:basedOn w:val="Domylnaczcionkaakapitu"/>
    <w:uiPriority w:val="99"/>
    <w:semiHidden/>
    <w:unhideWhenUsed/>
    <w:rsid w:val="00997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2023-03-07T07:55:00Z</dcterms:created>
  <dcterms:modified xsi:type="dcterms:W3CDTF">2023-03-08T13:36:00Z</dcterms:modified>
</cp:coreProperties>
</file>