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6" w:rsidRPr="007049E7" w:rsidRDefault="006D0BB6" w:rsidP="006D0BB6">
      <w:pPr>
        <w:pStyle w:val="Nagwek"/>
        <w:spacing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049E7">
        <w:rPr>
          <w:rFonts w:ascii="Calibri" w:hAnsi="Calibri" w:cs="Calibri"/>
          <w:sz w:val="22"/>
          <w:szCs w:val="22"/>
        </w:rPr>
        <w:t>Załącznik nr 1 do umowy Nr KD-135-108/22</w:t>
      </w:r>
    </w:p>
    <w:p w:rsidR="006D0BB6" w:rsidRPr="007049E7" w:rsidRDefault="006D0BB6" w:rsidP="007B5878">
      <w:pPr>
        <w:spacing w:after="0" w:line="271" w:lineRule="auto"/>
        <w:rPr>
          <w:rFonts w:ascii="Calibri" w:hAnsi="Calibri" w:cs="Calibri"/>
          <w:b/>
          <w:sz w:val="28"/>
          <w:szCs w:val="28"/>
        </w:rPr>
      </w:pPr>
      <w:r w:rsidRPr="007049E7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7049E7" w:rsidRDefault="006D0BB6" w:rsidP="007B5878">
      <w:pPr>
        <w:spacing w:line="271" w:lineRule="auto"/>
        <w:rPr>
          <w:rFonts w:ascii="Calibri" w:hAnsi="Calibri" w:cs="Calibri"/>
          <w:b/>
        </w:rPr>
      </w:pPr>
      <w:r w:rsidRPr="007049E7">
        <w:rPr>
          <w:rFonts w:ascii="Calibri" w:hAnsi="Calibri" w:cs="Calibri"/>
          <w:b/>
        </w:rPr>
        <w:t>ZLECENIODAWCA</w:t>
      </w:r>
      <w:r w:rsidR="007049E7" w:rsidRPr="007049E7">
        <w:rPr>
          <w:rFonts w:ascii="Calibri" w:hAnsi="Calibri" w:cs="Calibri"/>
          <w:b/>
        </w:rPr>
        <w:t xml:space="preserve">: </w:t>
      </w:r>
    </w:p>
    <w:p w:rsidR="006D0BB6" w:rsidRPr="009B5D6E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B5D6E">
        <w:rPr>
          <w:rFonts w:ascii="Calibri" w:hAnsi="Calibri" w:cs="Calibri"/>
        </w:rPr>
        <w:t xml:space="preserve">Sąd Okręgowy </w:t>
      </w:r>
    </w:p>
    <w:p w:rsidR="006D0BB6" w:rsidRPr="009B5D6E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9B5D6E">
        <w:rPr>
          <w:rFonts w:ascii="Calibri" w:hAnsi="Calibri" w:cs="Calibri"/>
        </w:rPr>
        <w:t>ul. Piłsudskiego 10</w:t>
      </w:r>
      <w:r w:rsidR="007049E7" w:rsidRPr="009B5D6E">
        <w:rPr>
          <w:rFonts w:ascii="Calibri" w:hAnsi="Calibri" w:cs="Calibri"/>
        </w:rPr>
        <w:t xml:space="preserve">  </w:t>
      </w:r>
      <w:r w:rsidRPr="009B5D6E">
        <w:rPr>
          <w:rFonts w:ascii="Calibri" w:hAnsi="Calibri" w:cs="Calibri"/>
        </w:rPr>
        <w:t>26 – 600 Radom</w:t>
      </w:r>
    </w:p>
    <w:p w:rsidR="006D0BB6" w:rsidRPr="007049E7" w:rsidRDefault="009B5D6E" w:rsidP="007B5878">
      <w:pPr>
        <w:spacing w:line="271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ZLECENIOBIORCA</w:t>
      </w:r>
      <w:r w:rsidR="007049E7" w:rsidRPr="007049E7">
        <w:rPr>
          <w:rFonts w:ascii="Calibri" w:hAnsi="Calibri" w:cs="Calibri"/>
          <w:b/>
        </w:rPr>
        <w:t>: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Nazwa firmy:………………………………………</w:t>
      </w:r>
      <w:r w:rsidR="004E1362" w:rsidRPr="007049E7">
        <w:rPr>
          <w:rFonts w:ascii="Calibri" w:hAnsi="Calibri" w:cs="Calibri"/>
        </w:rPr>
        <w:t>…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Adres firmy: …………………………………………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7049E7">
        <w:rPr>
          <w:rFonts w:ascii="Calibri" w:hAnsi="Calibri" w:cs="Calibri"/>
        </w:rPr>
        <w:t>E - mail: ………………………………………</w:t>
      </w:r>
      <w:r w:rsidR="004E1362" w:rsidRPr="007049E7">
        <w:rPr>
          <w:rFonts w:ascii="Calibri" w:hAnsi="Calibri" w:cs="Calibri"/>
        </w:rPr>
        <w:t>…………</w:t>
      </w:r>
      <w:r w:rsidRPr="007049E7">
        <w:rPr>
          <w:rFonts w:ascii="Calibri" w:hAnsi="Calibri" w:cs="Calibri"/>
        </w:rPr>
        <w:t xml:space="preserve"> </w:t>
      </w:r>
    </w:p>
    <w:p w:rsidR="006D0BB6" w:rsidRPr="007049E7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numer </w:t>
      </w:r>
      <w:r w:rsidR="004E1362">
        <w:rPr>
          <w:rFonts w:ascii="Calibri" w:hAnsi="Calibri" w:cs="Calibri"/>
        </w:rPr>
        <w:t>telefonu: ………………………</w:t>
      </w:r>
      <w:r w:rsidR="004E1362" w:rsidRPr="007049E7">
        <w:rPr>
          <w:rFonts w:ascii="Calibri" w:hAnsi="Calibri" w:cs="Calibri"/>
        </w:rPr>
        <w:t>……………</w:t>
      </w:r>
    </w:p>
    <w:p w:rsidR="006D0BB6" w:rsidRPr="007049E7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 faksu: ……………………………………</w:t>
      </w:r>
      <w:r w:rsidRPr="007049E7">
        <w:rPr>
          <w:rFonts w:ascii="Calibri" w:hAnsi="Calibri" w:cs="Calibri"/>
        </w:rPr>
        <w:t>……</w:t>
      </w:r>
    </w:p>
    <w:p w:rsidR="006D0BB6" w:rsidRPr="007049E7" w:rsidRDefault="006D0BB6" w:rsidP="007B5878">
      <w:pPr>
        <w:spacing w:after="240" w:line="271" w:lineRule="auto"/>
        <w:rPr>
          <w:rFonts w:ascii="Calibri" w:hAnsi="Calibri" w:cs="Calibri"/>
        </w:rPr>
      </w:pPr>
      <w:r w:rsidRPr="007049E7">
        <w:rPr>
          <w:rFonts w:ascii="Calibri" w:hAnsi="Calibri" w:cs="Calibri"/>
        </w:rPr>
        <w:t>Nawiązując do zaproszenia Nr KD-135-108/22 na:</w:t>
      </w:r>
    </w:p>
    <w:p w:rsidR="006D0BB6" w:rsidRPr="007049E7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7049E7">
        <w:rPr>
          <w:rFonts w:ascii="Calibri" w:hAnsi="Calibri" w:cs="Calibri"/>
          <w:b/>
        </w:rPr>
        <w:t>„Świadczenie usług medycznych w zakresie medycyny pracy dla pracowników Sądu Okręgowego w Radomiu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Oferujemy: świadczenie usług medycznych z zakresu medycyny pracy dla pracowników Sądu Okręgowego w Radomiu, w tym kandydatów do pracy i innych osób zatrudnianych bądź zatrudnionych w Sądzie Okręgowym w Radomiu na innej podstawie niż stosunek pracy, przez okres 24 miesięcy, tj. od 01.01.2023 r. do 31.12.2024 r., polegających na przeprowadzeniu badań wstępnych, okresowych i kontrolnych oraz sprawowaniu profilaktycznej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……………………………………….…… zł (brutto) (słownie złotych: …………………………………………………………………………………………………..).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                                                </w:t>
      </w:r>
    </w:p>
    <w:p w:rsidR="006D0BB6" w:rsidRPr="007049E7" w:rsidRDefault="006D0BB6" w:rsidP="00151706">
      <w:pPr>
        <w:spacing w:after="108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                                                                                 PODPISY OSÓB UPRAWNIONYCH</w:t>
      </w:r>
      <w:r w:rsidRPr="007049E7">
        <w:rPr>
          <w:rFonts w:ascii="Calibri" w:hAnsi="Calibri" w:cs="Calibri"/>
        </w:rPr>
        <w:br/>
        <w:t xml:space="preserve">                                                                                                       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8940C9" w:rsidRDefault="006D0BB6" w:rsidP="006D0BB6">
      <w:pPr>
        <w:pStyle w:val="Legenda"/>
        <w:keepNext/>
        <w:rPr>
          <w:i w:val="0"/>
          <w:color w:val="auto"/>
          <w:sz w:val="28"/>
          <w:szCs w:val="28"/>
        </w:rPr>
      </w:pPr>
      <w:r w:rsidRPr="008940C9">
        <w:rPr>
          <w:rFonts w:ascii="Calibri" w:hAnsi="Calibri" w:cs="Calibri"/>
          <w:b/>
          <w:i w:val="0"/>
          <w:color w:val="auto"/>
          <w:sz w:val="28"/>
          <w:szCs w:val="28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6E64F2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rodzaj badania w drugiej kolumnie puste miejsce do wpisania ceny"/>
      </w:tblPr>
      <w:tblGrid>
        <w:gridCol w:w="6237"/>
        <w:gridCol w:w="2263"/>
      </w:tblGrid>
      <w:tr w:rsidR="00BA2A57" w:rsidRPr="007049E7" w:rsidTr="004C66E8">
        <w:trPr>
          <w:trHeight w:val="284"/>
          <w:tblHeader/>
        </w:trPr>
        <w:tc>
          <w:tcPr>
            <w:tcW w:w="6237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  <w:r w:rsidR="008940C9">
              <w:rPr>
                <w:rFonts w:cstheme="minorHAnsi"/>
                <w:b/>
              </w:rPr>
              <w:t>:</w:t>
            </w:r>
          </w:p>
        </w:tc>
        <w:tc>
          <w:tcPr>
            <w:tcW w:w="2263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  <w:r w:rsidR="008940C9">
              <w:rPr>
                <w:rFonts w:cstheme="minorHAnsi"/>
                <w:b/>
              </w:rPr>
              <w:t>:</w:t>
            </w: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F05DB0">
        <w:trPr>
          <w:trHeight w:val="2926"/>
        </w:trPr>
        <w:tc>
          <w:tcPr>
            <w:tcW w:w="6237" w:type="dxa"/>
          </w:tcPr>
          <w:p w:rsidR="00BA2A57" w:rsidRPr="007049E7" w:rsidRDefault="00BA2A57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psychologiczne kierowców samochodów osobowych do celów służbowych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proofErr w:type="spellStart"/>
            <w:r w:rsidRPr="007049E7">
              <w:rPr>
                <w:rFonts w:cstheme="minorHAnsi"/>
              </w:rPr>
              <w:t>lipidogram</w:t>
            </w:r>
            <w:proofErr w:type="spellEnd"/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za  1 godzinę pracy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Pr="00D56A5F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428"/>
        <w:gridCol w:w="5237"/>
        <w:gridCol w:w="1276"/>
        <w:gridCol w:w="1276"/>
        <w:gridCol w:w="1271"/>
      </w:tblGrid>
      <w:tr w:rsidR="006E64F2" w:rsidRPr="00C07657" w:rsidTr="004C66E8">
        <w:trPr>
          <w:tblHeader/>
        </w:trPr>
        <w:tc>
          <w:tcPr>
            <w:tcW w:w="425" w:type="dxa"/>
          </w:tcPr>
          <w:p w:rsidR="006E64F2" w:rsidRPr="009559C7" w:rsidRDefault="006E64F2" w:rsidP="006E64F2">
            <w:pPr>
              <w:rPr>
                <w:b/>
              </w:rPr>
            </w:pPr>
            <w:proofErr w:type="spellStart"/>
            <w:r w:rsidRPr="009559C7">
              <w:rPr>
                <w:b/>
              </w:rPr>
              <w:t>Lp</w:t>
            </w:r>
            <w:proofErr w:type="spellEnd"/>
          </w:p>
        </w:tc>
        <w:tc>
          <w:tcPr>
            <w:tcW w:w="5240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1A5546">
        <w:tc>
          <w:tcPr>
            <w:tcW w:w="425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40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1A5546">
        <w:tc>
          <w:tcPr>
            <w:tcW w:w="425" w:type="dxa"/>
          </w:tcPr>
          <w:p w:rsidR="006E64F2" w:rsidRPr="00C07657" w:rsidRDefault="001A5546" w:rsidP="001A5546">
            <w:r w:rsidRPr="00C07657">
              <w:t>2</w:t>
            </w:r>
          </w:p>
        </w:tc>
        <w:tc>
          <w:tcPr>
            <w:tcW w:w="5240" w:type="dxa"/>
          </w:tcPr>
          <w:p w:rsidR="001A5546" w:rsidRPr="00C07657" w:rsidRDefault="001A5546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</w:t>
            </w:r>
            <w:r w:rsidR="004518D1">
              <w:rPr>
                <w:rFonts w:ascii="Calibri" w:hAnsi="Calibri" w:cs="Calibri"/>
                <w:b/>
              </w:rPr>
              <w:t xml:space="preserve"> -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  <w:b/>
              </w:rPr>
              <w:t>Kierowca samochodów osobowych do celów służbowych: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wstępne i okresowe wraz z wydaniem orzeczenia końcowego obejmuje i zaświadczenia o potrzebie stosowania okularów korygujących wzrok obejmuje: </w:t>
            </w:r>
          </w:p>
          <w:p w:rsidR="00A078B9" w:rsidRPr="00C07657" w:rsidRDefault="00A078B9" w:rsidP="00944C52">
            <w:pPr>
              <w:numPr>
                <w:ilvl w:val="0"/>
                <w:numId w:val="15"/>
              </w:numPr>
              <w:tabs>
                <w:tab w:val="left" w:pos="335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5"/>
              </w:numPr>
              <w:tabs>
                <w:tab w:val="left" w:pos="335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5"/>
              </w:numPr>
              <w:tabs>
                <w:tab w:val="left" w:pos="335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badania specjalistyczne, w szczególności: okulistyczne, laryngologiczne, neurologiczne i psychologiczne (</w:t>
            </w:r>
            <w:proofErr w:type="spellStart"/>
            <w:r w:rsidRPr="00C07657">
              <w:rPr>
                <w:rFonts w:ascii="Calibri" w:hAnsi="Calibri" w:cs="Calibri"/>
              </w:rPr>
              <w:t>psychotesty</w:t>
            </w:r>
            <w:proofErr w:type="spellEnd"/>
            <w:r w:rsidRPr="00C07657">
              <w:rPr>
                <w:rFonts w:ascii="Calibri" w:hAnsi="Calibri" w:cs="Calibri"/>
              </w:rPr>
              <w:t>)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1A5546">
        <w:tc>
          <w:tcPr>
            <w:tcW w:w="425" w:type="dxa"/>
          </w:tcPr>
          <w:p w:rsidR="006E64F2" w:rsidRPr="00C07657" w:rsidRDefault="00A078B9" w:rsidP="001A5546">
            <w:r w:rsidRPr="00C07657">
              <w:t>3</w:t>
            </w:r>
          </w:p>
        </w:tc>
        <w:tc>
          <w:tcPr>
            <w:tcW w:w="5240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7D335E">
      <w:pPr>
        <w:spacing w:after="24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lastRenderedPageBreak/>
        <w:t xml:space="preserve">Tabela </w:t>
      </w:r>
      <w:r w:rsidR="004518D1">
        <w:rPr>
          <w:rFonts w:ascii="Calibri" w:hAnsi="Calibri" w:cs="Calibri"/>
          <w:b/>
        </w:rPr>
        <w:t>3</w:t>
      </w:r>
      <w:r w:rsidRPr="008E7C74">
        <w:rPr>
          <w:rFonts w:ascii="Calibri" w:hAnsi="Calibri" w:cs="Calibri"/>
          <w:b/>
        </w:rPr>
        <w:t xml:space="preserve">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……….</w:t>
      </w:r>
      <w:r w:rsidRPr="008E7C74">
        <w:rPr>
          <w:rFonts w:ascii="Calibri" w:hAnsi="Calibri" w:cs="Calibri"/>
          <w:b/>
        </w:rPr>
        <w:t>. zł (brutto) (słownie złotych: ……………………………………</w:t>
      </w:r>
      <w:r w:rsidR="00D6768A">
        <w:rPr>
          <w:rFonts w:ascii="Calibri" w:hAnsi="Calibri" w:cs="Calibri"/>
          <w:b/>
        </w:rPr>
        <w:t>……..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704"/>
        <w:gridCol w:w="3544"/>
        <w:gridCol w:w="1701"/>
        <w:gridCol w:w="1701"/>
        <w:gridCol w:w="1838"/>
      </w:tblGrid>
      <w:tr w:rsidR="00747195" w:rsidTr="004C66E8">
        <w:trPr>
          <w:tblHeader/>
        </w:trPr>
        <w:tc>
          <w:tcPr>
            <w:tcW w:w="704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4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3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Default="00747195"/>
        </w:tc>
        <w:tc>
          <w:tcPr>
            <w:tcW w:w="3544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747195" w:rsidRPr="00112E89" w:rsidRDefault="00112E89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2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</w:p>
        </w:tc>
        <w:tc>
          <w:tcPr>
            <w:tcW w:w="1701" w:type="dxa"/>
          </w:tcPr>
          <w:p w:rsidR="00747195" w:rsidRPr="00112E89" w:rsidRDefault="007471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674A11" w:rsidTr="000C4527">
        <w:tc>
          <w:tcPr>
            <w:tcW w:w="704" w:type="dxa"/>
          </w:tcPr>
          <w:p w:rsidR="00674A11" w:rsidRDefault="00674A11" w:rsidP="00674A11"/>
        </w:tc>
        <w:tc>
          <w:tcPr>
            <w:tcW w:w="3544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674A11" w:rsidRPr="00112E89" w:rsidRDefault="00112E89" w:rsidP="00112E89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674A11" w:rsidRDefault="00674A11" w:rsidP="00674A11"/>
        </w:tc>
        <w:tc>
          <w:tcPr>
            <w:tcW w:w="1838" w:type="dxa"/>
          </w:tcPr>
          <w:p w:rsidR="00674A11" w:rsidRDefault="00674A11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Pracownik na stanowisku obsługowym, robotniczym </w:t>
            </w:r>
            <w:r w:rsidR="00F06B08">
              <w:rPr>
                <w:rFonts w:ascii="Calibri" w:hAnsi="Calibri" w:cs="Calibri"/>
              </w:rPr>
              <w:t>-</w:t>
            </w:r>
          </w:p>
          <w:p w:rsidR="0006501D" w:rsidRDefault="00F06B08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06501D">
              <w:rPr>
                <w:rFonts w:ascii="Calibri" w:hAnsi="Calibri" w:cs="Calibri"/>
              </w:rPr>
              <w:t>ierowca samochodów osobowych do celów służbowych</w:t>
            </w:r>
          </w:p>
        </w:tc>
        <w:tc>
          <w:tcPr>
            <w:tcW w:w="1701" w:type="dxa"/>
          </w:tcPr>
          <w:p w:rsidR="0006501D" w:rsidRPr="00112E89" w:rsidRDefault="00112E89" w:rsidP="00674A11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12E89" w:rsidTr="000C4527">
        <w:tc>
          <w:tcPr>
            <w:tcW w:w="704" w:type="dxa"/>
          </w:tcPr>
          <w:p w:rsidR="00112E89" w:rsidRDefault="00112E89" w:rsidP="00674A11"/>
        </w:tc>
        <w:tc>
          <w:tcPr>
            <w:tcW w:w="3544" w:type="dxa"/>
          </w:tcPr>
          <w:p w:rsidR="00112E89" w:rsidRDefault="00112E89" w:rsidP="00971EA0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  <w:r w:rsidR="00F06B08">
              <w:rPr>
                <w:rFonts w:ascii="Calibri" w:hAnsi="Calibri" w:cs="Calibri"/>
              </w:rPr>
              <w:t>- p</w:t>
            </w:r>
            <w:r w:rsidRPr="00B041B3">
              <w:rPr>
                <w:rFonts w:ascii="Calibri" w:hAnsi="Calibri" w:cs="Calibri"/>
              </w:rPr>
              <w:t>racownik gospodarczy</w:t>
            </w:r>
            <w:r w:rsidR="00971EA0">
              <w:rPr>
                <w:rFonts w:ascii="Calibri" w:hAnsi="Calibri" w:cs="Calibri"/>
              </w:rPr>
              <w:t>,</w:t>
            </w:r>
            <w:r w:rsidRPr="00B041B3">
              <w:rPr>
                <w:rFonts w:ascii="Calibri" w:hAnsi="Calibri" w:cs="Calibri"/>
              </w:rPr>
              <w:t xml:space="preserve"> praca na wysokości powyżej 3 m</w:t>
            </w:r>
          </w:p>
        </w:tc>
        <w:tc>
          <w:tcPr>
            <w:tcW w:w="1701" w:type="dxa"/>
          </w:tcPr>
          <w:p w:rsidR="00112E89" w:rsidRPr="00112E89" w:rsidRDefault="00112E89" w:rsidP="00674A11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12E89" w:rsidRDefault="00112E89" w:rsidP="00674A11"/>
        </w:tc>
        <w:tc>
          <w:tcPr>
            <w:tcW w:w="1838" w:type="dxa"/>
          </w:tcPr>
          <w:p w:rsidR="00112E89" w:rsidRDefault="00112E89" w:rsidP="00674A11"/>
        </w:tc>
      </w:tr>
      <w:tr w:rsidR="0006501D" w:rsidTr="000C4527">
        <w:tc>
          <w:tcPr>
            <w:tcW w:w="704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544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</w:p>
        </w:tc>
        <w:tc>
          <w:tcPr>
            <w:tcW w:w="1701" w:type="dxa"/>
          </w:tcPr>
          <w:p w:rsidR="0006501D" w:rsidRPr="00112E89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06501D" w:rsidRPr="00112E89" w:rsidRDefault="00112E89" w:rsidP="00674A11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4.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701" w:type="dxa"/>
          </w:tcPr>
          <w:p w:rsidR="0006501D" w:rsidRPr="00112E89" w:rsidRDefault="00112E89" w:rsidP="00674A11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5.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stawka  za 1 godzinę pracy</w:t>
            </w:r>
          </w:p>
        </w:tc>
        <w:tc>
          <w:tcPr>
            <w:tcW w:w="1701" w:type="dxa"/>
          </w:tcPr>
          <w:p w:rsidR="0006501D" w:rsidRPr="00112E89" w:rsidRDefault="00112E89" w:rsidP="00674A11">
            <w:pPr>
              <w:rPr>
                <w:sz w:val="28"/>
                <w:szCs w:val="28"/>
              </w:rPr>
            </w:pPr>
            <w:r w:rsidRPr="00112E89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A397E" w:rsidTr="000C4527">
        <w:tc>
          <w:tcPr>
            <w:tcW w:w="704" w:type="dxa"/>
          </w:tcPr>
          <w:p w:rsidR="001A397E" w:rsidRDefault="001A397E" w:rsidP="00674A11">
            <w:r>
              <w:t>6.</w:t>
            </w:r>
          </w:p>
        </w:tc>
        <w:tc>
          <w:tcPr>
            <w:tcW w:w="3544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397E" w:rsidRDefault="001A397E" w:rsidP="00674A11"/>
        </w:tc>
        <w:tc>
          <w:tcPr>
            <w:tcW w:w="1701" w:type="dxa"/>
          </w:tcPr>
          <w:p w:rsidR="001A397E" w:rsidRDefault="001A397E" w:rsidP="00674A11">
            <w:r>
              <w:t>RAZEM:</w:t>
            </w:r>
          </w:p>
        </w:tc>
        <w:tc>
          <w:tcPr>
            <w:tcW w:w="1838" w:type="dxa"/>
          </w:tcPr>
          <w:p w:rsidR="001A397E" w:rsidRDefault="001A397E" w:rsidP="00674A11"/>
        </w:tc>
      </w:tr>
    </w:tbl>
    <w:p w:rsidR="0087604F" w:rsidRDefault="0087604F" w:rsidP="00F620E1">
      <w:pPr>
        <w:spacing w:after="720"/>
        <w:jc w:val="both"/>
        <w:rPr>
          <w:rFonts w:ascii="Calibri" w:hAnsi="Calibri" w:cs="Calibri"/>
        </w:rPr>
      </w:pPr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                                                </w:t>
      </w:r>
    </w:p>
    <w:p w:rsidR="00D6768A" w:rsidRDefault="0066306F" w:rsidP="007D335E">
      <w:pPr>
        <w:spacing w:after="108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 xml:space="preserve">)                                 </w:t>
      </w:r>
      <w:r w:rsidRPr="007049E7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</w:t>
      </w:r>
      <w:r w:rsidRPr="007049E7">
        <w:rPr>
          <w:rFonts w:ascii="Calibri" w:hAnsi="Calibri" w:cs="Calibri"/>
        </w:rPr>
        <w:t>PODPISY OSÓB UPRAWNIONYCH</w:t>
      </w:r>
      <w:r w:rsidR="007D335E">
        <w:rPr>
          <w:rFonts w:ascii="Calibri" w:hAnsi="Calibri" w:cs="Calibri"/>
        </w:rPr>
        <w:br/>
        <w:t xml:space="preserve">                                                                                                            </w:t>
      </w: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C7" w:rsidRDefault="009559C7" w:rsidP="009559C7">
      <w:pPr>
        <w:spacing w:after="0" w:line="240" w:lineRule="auto"/>
      </w:pPr>
      <w:r>
        <w:separator/>
      </w:r>
    </w:p>
  </w:endnote>
  <w:end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C7" w:rsidRDefault="009559C7" w:rsidP="009559C7">
      <w:pPr>
        <w:spacing w:after="0" w:line="240" w:lineRule="auto"/>
      </w:pPr>
      <w:r>
        <w:separator/>
      </w:r>
    </w:p>
  </w:footnote>
  <w:foot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1"/>
    <w:rsid w:val="0006501D"/>
    <w:rsid w:val="000C4527"/>
    <w:rsid w:val="00112E89"/>
    <w:rsid w:val="00151706"/>
    <w:rsid w:val="001565CE"/>
    <w:rsid w:val="001A397E"/>
    <w:rsid w:val="001A5546"/>
    <w:rsid w:val="0024735E"/>
    <w:rsid w:val="00261381"/>
    <w:rsid w:val="002A41BF"/>
    <w:rsid w:val="00301271"/>
    <w:rsid w:val="0030643B"/>
    <w:rsid w:val="0042703F"/>
    <w:rsid w:val="004518D1"/>
    <w:rsid w:val="00462ACD"/>
    <w:rsid w:val="004C66E8"/>
    <w:rsid w:val="004E1362"/>
    <w:rsid w:val="0066306F"/>
    <w:rsid w:val="00674A11"/>
    <w:rsid w:val="006D0BB6"/>
    <w:rsid w:val="006E64F2"/>
    <w:rsid w:val="007049E7"/>
    <w:rsid w:val="007369D2"/>
    <w:rsid w:val="00747195"/>
    <w:rsid w:val="007506C1"/>
    <w:rsid w:val="007B5878"/>
    <w:rsid w:val="007D335E"/>
    <w:rsid w:val="00807B13"/>
    <w:rsid w:val="0087604F"/>
    <w:rsid w:val="0089093F"/>
    <w:rsid w:val="008940C9"/>
    <w:rsid w:val="008B02FF"/>
    <w:rsid w:val="008B10BE"/>
    <w:rsid w:val="00934A43"/>
    <w:rsid w:val="00943E84"/>
    <w:rsid w:val="00944C52"/>
    <w:rsid w:val="009559C7"/>
    <w:rsid w:val="00971EA0"/>
    <w:rsid w:val="00974108"/>
    <w:rsid w:val="009B5D6E"/>
    <w:rsid w:val="009B62A8"/>
    <w:rsid w:val="00A078B9"/>
    <w:rsid w:val="00A14A85"/>
    <w:rsid w:val="00A4785A"/>
    <w:rsid w:val="00B201AD"/>
    <w:rsid w:val="00B345CC"/>
    <w:rsid w:val="00BA2A57"/>
    <w:rsid w:val="00BD2B20"/>
    <w:rsid w:val="00C06E1E"/>
    <w:rsid w:val="00C07657"/>
    <w:rsid w:val="00C77EBA"/>
    <w:rsid w:val="00D56A5F"/>
    <w:rsid w:val="00D6768A"/>
    <w:rsid w:val="00DF2F43"/>
    <w:rsid w:val="00DF3720"/>
    <w:rsid w:val="00EB10AD"/>
    <w:rsid w:val="00F05C99"/>
    <w:rsid w:val="00F06B08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2022-11-06T15:12:00Z</dcterms:modified>
</cp:coreProperties>
</file>