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F6" w:rsidRPr="00C348BD" w:rsidRDefault="00103D7A" w:rsidP="00DF2CB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348BD">
        <w:rPr>
          <w:rFonts w:asciiTheme="minorHAnsi" w:hAnsiTheme="minorHAnsi" w:cstheme="minorHAnsi"/>
          <w:sz w:val="28"/>
          <w:szCs w:val="28"/>
        </w:rPr>
        <w:t>Sprawozdanie</w:t>
      </w:r>
      <w:r w:rsidR="00366FFA">
        <w:rPr>
          <w:rFonts w:asciiTheme="minorHAnsi" w:hAnsiTheme="minorHAnsi" w:cstheme="minorHAnsi"/>
          <w:sz w:val="28"/>
          <w:szCs w:val="28"/>
        </w:rPr>
        <w:t xml:space="preserve"> z wykonania P</w:t>
      </w:r>
      <w:bookmarkStart w:id="0" w:name="_GoBack"/>
      <w:bookmarkEnd w:id="0"/>
      <w:r w:rsidR="006C1AF6" w:rsidRPr="00C348BD">
        <w:rPr>
          <w:rFonts w:asciiTheme="minorHAnsi" w:hAnsiTheme="minorHAnsi" w:cstheme="minorHAnsi"/>
          <w:sz w:val="28"/>
          <w:szCs w:val="28"/>
        </w:rPr>
        <w:t>lanu działalności</w:t>
      </w:r>
    </w:p>
    <w:p w:rsidR="00DF2CB9" w:rsidRPr="00C348BD" w:rsidRDefault="006C1AF6" w:rsidP="00DF2CB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348BD">
        <w:rPr>
          <w:rFonts w:asciiTheme="minorHAnsi" w:hAnsiTheme="minorHAnsi" w:cstheme="minorHAnsi"/>
          <w:sz w:val="28"/>
          <w:szCs w:val="28"/>
        </w:rPr>
        <w:t>Sądu Okręgowego w Radomiu</w:t>
      </w:r>
    </w:p>
    <w:p w:rsidR="00310B5B" w:rsidRPr="00C348BD" w:rsidRDefault="00525058" w:rsidP="00E67B8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348BD">
        <w:rPr>
          <w:rFonts w:asciiTheme="minorHAnsi" w:hAnsiTheme="minorHAnsi" w:cstheme="minorHAnsi"/>
          <w:sz w:val="28"/>
          <w:szCs w:val="28"/>
        </w:rPr>
        <w:t>za rok 2021</w:t>
      </w:r>
    </w:p>
    <w:p w:rsidR="00310B5B" w:rsidRPr="00C348BD" w:rsidRDefault="00103D7A">
      <w:pPr>
        <w:rPr>
          <w:rFonts w:asciiTheme="minorHAnsi" w:hAnsiTheme="minorHAnsi" w:cstheme="minorHAnsi"/>
          <w:sz w:val="28"/>
          <w:szCs w:val="28"/>
        </w:rPr>
      </w:pPr>
      <w:r w:rsidRPr="00C348BD">
        <w:rPr>
          <w:rFonts w:asciiTheme="minorHAnsi" w:hAnsiTheme="minorHAnsi" w:cstheme="minorHAnsi"/>
          <w:sz w:val="28"/>
          <w:szCs w:val="28"/>
        </w:rPr>
        <w:t xml:space="preserve">Część A: </w:t>
      </w:r>
      <w:r w:rsidR="00DF2CB9" w:rsidRPr="00C348BD">
        <w:rPr>
          <w:rFonts w:asciiTheme="minorHAnsi" w:hAnsiTheme="minorHAnsi" w:cstheme="minorHAnsi"/>
          <w:sz w:val="28"/>
          <w:szCs w:val="28"/>
        </w:rPr>
        <w:t>Realizacja n</w:t>
      </w:r>
      <w:r w:rsidR="00525058" w:rsidRPr="00C348BD">
        <w:rPr>
          <w:rFonts w:asciiTheme="minorHAnsi" w:hAnsiTheme="minorHAnsi" w:cstheme="minorHAnsi"/>
          <w:sz w:val="28"/>
          <w:szCs w:val="28"/>
        </w:rPr>
        <w:t>ajważniejszych celów w roku 2021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268"/>
        <w:gridCol w:w="2553"/>
        <w:gridCol w:w="1702"/>
        <w:gridCol w:w="1702"/>
        <w:gridCol w:w="3794"/>
        <w:gridCol w:w="2727"/>
      </w:tblGrid>
      <w:tr w:rsidR="00103D7A" w:rsidRPr="00DF2CB9" w:rsidTr="00D3760D">
        <w:tc>
          <w:tcPr>
            <w:tcW w:w="563" w:type="dxa"/>
            <w:vMerge w:val="restart"/>
            <w:vAlign w:val="center"/>
          </w:tcPr>
          <w:p w:rsidR="00103D7A" w:rsidRPr="004B6555" w:rsidRDefault="00103D7A" w:rsidP="00BB08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B6555">
              <w:rPr>
                <w:rFonts w:asciiTheme="minorHAnsi" w:hAnsiTheme="minorHAnsi" w:cstheme="minorHAnsi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03D7A" w:rsidRPr="004B6555" w:rsidRDefault="00103D7A" w:rsidP="00DF2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t>Cel</w:t>
            </w:r>
          </w:p>
        </w:tc>
        <w:tc>
          <w:tcPr>
            <w:tcW w:w="5957" w:type="dxa"/>
            <w:gridSpan w:val="3"/>
            <w:vAlign w:val="center"/>
          </w:tcPr>
          <w:p w:rsidR="00103D7A" w:rsidRPr="004B6555" w:rsidRDefault="00103D7A" w:rsidP="00DF2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t>Mierniki określające stopień realizacji celu</w:t>
            </w:r>
          </w:p>
        </w:tc>
        <w:tc>
          <w:tcPr>
            <w:tcW w:w="3794" w:type="dxa"/>
            <w:vMerge w:val="restart"/>
            <w:vAlign w:val="center"/>
          </w:tcPr>
          <w:p w:rsidR="00103D7A" w:rsidRPr="004B6555" w:rsidRDefault="00103D7A" w:rsidP="00DF2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t>Najważniejsze planowane zadania</w:t>
            </w:r>
            <w:r w:rsidR="00E75B9B" w:rsidRPr="004B6555">
              <w:rPr>
                <w:rFonts w:asciiTheme="minorHAnsi" w:hAnsiTheme="minorHAnsi" w:cstheme="minorHAnsi"/>
                <w:sz w:val="24"/>
                <w:szCs w:val="24"/>
              </w:rPr>
              <w:t xml:space="preserve"> służące realizacji celu</w:t>
            </w:r>
            <w:r w:rsidR="006C1AF6" w:rsidRPr="004B655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2727" w:type="dxa"/>
            <w:vMerge w:val="restart"/>
            <w:vAlign w:val="center"/>
          </w:tcPr>
          <w:p w:rsidR="00103D7A" w:rsidRPr="004B6555" w:rsidRDefault="00103D7A" w:rsidP="00DF2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t>Najważniejsze podjęte zadania służące realizacji celu</w:t>
            </w:r>
            <w:r w:rsidR="006C1AF6" w:rsidRPr="004B655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5)</w:t>
            </w:r>
          </w:p>
        </w:tc>
      </w:tr>
      <w:tr w:rsidR="00103D7A" w:rsidRPr="00DF2CB9" w:rsidTr="00D3760D">
        <w:tc>
          <w:tcPr>
            <w:tcW w:w="563" w:type="dxa"/>
            <w:vMerge/>
            <w:vAlign w:val="center"/>
          </w:tcPr>
          <w:p w:rsidR="00103D7A" w:rsidRPr="004B6555" w:rsidRDefault="00103D7A" w:rsidP="00DF2C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03D7A" w:rsidRPr="004B6555" w:rsidRDefault="00103D7A" w:rsidP="00DF2C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103D7A" w:rsidRPr="004B6555" w:rsidRDefault="00103D7A" w:rsidP="00DF2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</w:p>
        </w:tc>
        <w:tc>
          <w:tcPr>
            <w:tcW w:w="1702" w:type="dxa"/>
            <w:vAlign w:val="center"/>
          </w:tcPr>
          <w:p w:rsidR="00103D7A" w:rsidRPr="004B6555" w:rsidRDefault="00103D7A" w:rsidP="00DF2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t>Planowana wartość</w:t>
            </w:r>
            <w:r w:rsidR="00E75B9B" w:rsidRPr="004B6555">
              <w:rPr>
                <w:rFonts w:asciiTheme="minorHAnsi" w:hAnsiTheme="minorHAnsi" w:cstheme="minorHAnsi"/>
                <w:sz w:val="24"/>
                <w:szCs w:val="24"/>
              </w:rPr>
              <w:t xml:space="preserve"> do osiągnięcia na koniec roku, którego dotyczy sprawozdanie</w:t>
            </w:r>
          </w:p>
        </w:tc>
        <w:tc>
          <w:tcPr>
            <w:tcW w:w="1702" w:type="dxa"/>
            <w:vAlign w:val="center"/>
          </w:tcPr>
          <w:p w:rsidR="00103D7A" w:rsidRPr="004B6555" w:rsidRDefault="00103D7A" w:rsidP="00DF2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t xml:space="preserve">Osiągnięta wartość </w:t>
            </w:r>
            <w:r w:rsidR="00E75B9B" w:rsidRPr="004B6555">
              <w:rPr>
                <w:rFonts w:asciiTheme="minorHAnsi" w:hAnsiTheme="minorHAnsi" w:cstheme="minorHAnsi"/>
                <w:sz w:val="24"/>
                <w:szCs w:val="24"/>
              </w:rPr>
              <w:t>na koniec roku, którego dotyczy sprawozdanie</w:t>
            </w:r>
          </w:p>
        </w:tc>
        <w:tc>
          <w:tcPr>
            <w:tcW w:w="3794" w:type="dxa"/>
            <w:vMerge/>
          </w:tcPr>
          <w:p w:rsidR="00103D7A" w:rsidRPr="004B6555" w:rsidRDefault="00103D7A" w:rsidP="00DF2C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03D7A" w:rsidRPr="004B6555" w:rsidRDefault="00103D7A" w:rsidP="00DF2C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3D7A" w:rsidRPr="00DF2CB9" w:rsidTr="00D3760D">
        <w:tc>
          <w:tcPr>
            <w:tcW w:w="563" w:type="dxa"/>
            <w:vAlign w:val="center"/>
          </w:tcPr>
          <w:p w:rsidR="00103D7A" w:rsidRPr="00D46ABD" w:rsidRDefault="00103D7A" w:rsidP="00DF2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6AB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03D7A" w:rsidRPr="00D46ABD" w:rsidRDefault="00103D7A" w:rsidP="00DF2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6AB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53" w:type="dxa"/>
            <w:vAlign w:val="center"/>
          </w:tcPr>
          <w:p w:rsidR="00103D7A" w:rsidRPr="00D46ABD" w:rsidRDefault="00103D7A" w:rsidP="00DF2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6AB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103D7A" w:rsidRPr="00D46ABD" w:rsidRDefault="00103D7A" w:rsidP="00DF2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6AB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103D7A" w:rsidRPr="00D46ABD" w:rsidRDefault="00103D7A" w:rsidP="00DF2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6AB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794" w:type="dxa"/>
            <w:vAlign w:val="center"/>
          </w:tcPr>
          <w:p w:rsidR="00103D7A" w:rsidRPr="00D46ABD" w:rsidRDefault="00103D7A" w:rsidP="00DF2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6AB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727" w:type="dxa"/>
            <w:vAlign w:val="center"/>
          </w:tcPr>
          <w:p w:rsidR="00103D7A" w:rsidRPr="00D46ABD" w:rsidRDefault="00103D7A" w:rsidP="00DF2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6AB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C538E6" w:rsidRPr="00DF2CB9" w:rsidTr="00D3760D">
        <w:tc>
          <w:tcPr>
            <w:tcW w:w="563" w:type="dxa"/>
            <w:vMerge w:val="restart"/>
          </w:tcPr>
          <w:p w:rsidR="00C538E6" w:rsidRPr="004B6555" w:rsidRDefault="00C538E6" w:rsidP="00DF00ED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vMerge w:val="restart"/>
          </w:tcPr>
          <w:p w:rsidR="00C538E6" w:rsidRPr="004B6555" w:rsidRDefault="00C538E6" w:rsidP="00E67B89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Poprawa sprawności funkcjonowania systemu sądownictwa powszechnego</w:t>
            </w:r>
          </w:p>
        </w:tc>
        <w:tc>
          <w:tcPr>
            <w:tcW w:w="2553" w:type="dxa"/>
          </w:tcPr>
          <w:p w:rsidR="00C538E6" w:rsidRPr="004B6555" w:rsidRDefault="00C538E6" w:rsidP="00E67B89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Odsetek spraw skierowanych do mediacji w stosunku do wszystkich spraw wpływających do sądów, w których mediacja może być zastosowana.</w:t>
            </w:r>
          </w:p>
        </w:tc>
        <w:tc>
          <w:tcPr>
            <w:tcW w:w="1702" w:type="dxa"/>
            <w:vAlign w:val="center"/>
          </w:tcPr>
          <w:p w:rsidR="00C538E6" w:rsidRPr="004B6555" w:rsidRDefault="008F104C" w:rsidP="00E67B8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2,5</w:t>
            </w:r>
            <w:r w:rsidR="00C538E6"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702" w:type="dxa"/>
            <w:vAlign w:val="center"/>
          </w:tcPr>
          <w:p w:rsidR="00C538E6" w:rsidRPr="004B6555" w:rsidRDefault="008F104C" w:rsidP="00E67B8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538E6" w:rsidRPr="004B6555">
              <w:rPr>
                <w:rFonts w:asciiTheme="minorHAnsi" w:hAnsiTheme="minorHAnsi" w:cstheme="minorHAnsi"/>
                <w:sz w:val="24"/>
                <w:szCs w:val="24"/>
              </w:rPr>
              <w:t>,3%</w:t>
            </w:r>
          </w:p>
        </w:tc>
        <w:tc>
          <w:tcPr>
            <w:tcW w:w="3794" w:type="dxa"/>
          </w:tcPr>
          <w:p w:rsidR="00C538E6" w:rsidRPr="004B6555" w:rsidRDefault="00C538E6" w:rsidP="00E67B89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 Propagowanie alternatywnych metod rozwiązywania sporów – mediacja.</w:t>
            </w:r>
          </w:p>
          <w:p w:rsidR="00C538E6" w:rsidRPr="004B6555" w:rsidRDefault="00C538E6" w:rsidP="00E67B89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 Działania promujące edukację prawną w zakresie mediacji.</w:t>
            </w:r>
          </w:p>
        </w:tc>
        <w:tc>
          <w:tcPr>
            <w:tcW w:w="2727" w:type="dxa"/>
            <w:vMerge w:val="restart"/>
          </w:tcPr>
          <w:p w:rsidR="00C538E6" w:rsidRPr="004B6555" w:rsidRDefault="00C538E6" w:rsidP="00E67B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t>1.Spotkania infor</w:t>
            </w:r>
            <w:r w:rsidR="008F104C" w:rsidRPr="004B6555">
              <w:rPr>
                <w:rFonts w:asciiTheme="minorHAnsi" w:hAnsiTheme="minorHAnsi" w:cstheme="minorHAnsi"/>
                <w:sz w:val="24"/>
                <w:szCs w:val="24"/>
              </w:rPr>
              <w:t>macyjne ze stałymi mediatorami.</w:t>
            </w:r>
          </w:p>
          <w:p w:rsidR="00C538E6" w:rsidRPr="004B6555" w:rsidRDefault="00CA789B" w:rsidP="00E67B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538E6" w:rsidRPr="004B6555">
              <w:rPr>
                <w:rFonts w:asciiTheme="minorHAnsi" w:hAnsiTheme="minorHAnsi" w:cstheme="minorHAnsi"/>
                <w:sz w:val="24"/>
                <w:szCs w:val="24"/>
              </w:rPr>
              <w:t xml:space="preserve">.Delegowanie sędziów z sądów rejonowych okręgu radomskiego do pełnienia obowiązków sędziego w Sądzie Okręgowym w Radomiu na podstawie art. 77 </w:t>
            </w:r>
            <w:proofErr w:type="spellStart"/>
            <w:r w:rsidR="00C538E6" w:rsidRPr="004B6555">
              <w:rPr>
                <w:rFonts w:asciiTheme="minorHAnsi" w:hAnsiTheme="minorHAnsi" w:cstheme="minorHAnsi"/>
                <w:sz w:val="24"/>
                <w:szCs w:val="24"/>
              </w:rPr>
              <w:t>usp</w:t>
            </w:r>
            <w:proofErr w:type="spellEnd"/>
            <w:r w:rsidR="00C538E6" w:rsidRPr="004B655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538E6" w:rsidRPr="004B6555" w:rsidRDefault="00CA789B" w:rsidP="00086E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538E6" w:rsidRPr="004B6555">
              <w:rPr>
                <w:rFonts w:asciiTheme="minorHAnsi" w:hAnsiTheme="minorHAnsi" w:cstheme="minorHAnsi"/>
                <w:sz w:val="24"/>
                <w:szCs w:val="24"/>
              </w:rPr>
              <w:t>.Sprawowanie bieżącej kontroli i nadzór nad pracą sędziów, asystentów sędziów i urzędników.</w:t>
            </w:r>
          </w:p>
          <w:p w:rsidR="00C538E6" w:rsidRPr="004B6555" w:rsidRDefault="00CA789B" w:rsidP="00086E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  <w:r w:rsidR="00C538E6" w:rsidRPr="004B6555">
              <w:rPr>
                <w:rFonts w:asciiTheme="minorHAnsi" w:hAnsiTheme="minorHAnsi" w:cstheme="minorHAnsi"/>
                <w:sz w:val="24"/>
                <w:szCs w:val="24"/>
              </w:rPr>
              <w:t>.Publikowanie danych statystycznych w Portalu Sądowym.</w:t>
            </w:r>
          </w:p>
          <w:p w:rsidR="00C538E6" w:rsidRPr="004B6555" w:rsidRDefault="00CA789B" w:rsidP="00086E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538E6" w:rsidRPr="004B6555">
              <w:rPr>
                <w:rFonts w:asciiTheme="minorHAnsi" w:hAnsiTheme="minorHAnsi" w:cstheme="minorHAnsi"/>
                <w:sz w:val="24"/>
                <w:szCs w:val="24"/>
              </w:rPr>
              <w:t>.Podnoszenie kwalifikacji zawodowych poprzez udział w szkolen</w:t>
            </w:r>
            <w:r w:rsidR="00525058" w:rsidRPr="004B6555">
              <w:rPr>
                <w:rFonts w:asciiTheme="minorHAnsi" w:hAnsiTheme="minorHAnsi" w:cstheme="minorHAnsi"/>
                <w:sz w:val="24"/>
                <w:szCs w:val="24"/>
              </w:rPr>
              <w:t>iach.</w:t>
            </w:r>
          </w:p>
          <w:p w:rsidR="00C538E6" w:rsidRPr="004B6555" w:rsidRDefault="00CA789B" w:rsidP="00086E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C538E6" w:rsidRPr="004B6555">
              <w:rPr>
                <w:rFonts w:asciiTheme="minorHAnsi" w:hAnsiTheme="minorHAnsi" w:cstheme="minorHAnsi"/>
                <w:sz w:val="24"/>
                <w:szCs w:val="24"/>
              </w:rPr>
              <w:t>.Prowadzenie racjonalnej polityki kadrowej.</w:t>
            </w:r>
          </w:p>
          <w:p w:rsidR="00C538E6" w:rsidRPr="004B6555" w:rsidRDefault="00CA789B" w:rsidP="00086E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C538E6" w:rsidRPr="004B6555">
              <w:rPr>
                <w:rFonts w:asciiTheme="minorHAnsi" w:hAnsiTheme="minorHAnsi" w:cstheme="minorHAnsi"/>
                <w:sz w:val="24"/>
                <w:szCs w:val="24"/>
              </w:rPr>
              <w:t>.Zapewnienie ciągłości działania systemów informatycznych.</w:t>
            </w:r>
          </w:p>
        </w:tc>
      </w:tr>
      <w:tr w:rsidR="00C538E6" w:rsidRPr="00DF2CB9" w:rsidTr="00D3760D">
        <w:trPr>
          <w:trHeight w:val="2317"/>
        </w:trPr>
        <w:tc>
          <w:tcPr>
            <w:tcW w:w="563" w:type="dxa"/>
            <w:vMerge/>
          </w:tcPr>
          <w:p w:rsidR="00C538E6" w:rsidRPr="004B6555" w:rsidRDefault="00C538E6" w:rsidP="00E67B89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C538E6" w:rsidRPr="004B6555" w:rsidRDefault="00C538E6" w:rsidP="00E67B89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3" w:type="dxa"/>
          </w:tcPr>
          <w:p w:rsidR="00C538E6" w:rsidRPr="004B6555" w:rsidRDefault="00C538E6" w:rsidP="00E67B89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Średni czas trwania (dotychczas: sprawność) postępowań sądowych według wybranych kategorii spraw w I instancji (w miesiącach)</w:t>
            </w:r>
          </w:p>
        </w:tc>
        <w:tc>
          <w:tcPr>
            <w:tcW w:w="1702" w:type="dxa"/>
            <w:vAlign w:val="center"/>
          </w:tcPr>
          <w:p w:rsidR="00C538E6" w:rsidRPr="004B6555" w:rsidRDefault="008F104C" w:rsidP="00E67B89">
            <w:pPr>
              <w:spacing w:after="0"/>
              <w:ind w:left="3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11,0</w:t>
            </w:r>
          </w:p>
        </w:tc>
        <w:tc>
          <w:tcPr>
            <w:tcW w:w="1702" w:type="dxa"/>
            <w:vAlign w:val="center"/>
          </w:tcPr>
          <w:p w:rsidR="00C538E6" w:rsidRPr="004B6555" w:rsidRDefault="008F104C" w:rsidP="00E67B8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t>12,7</w:t>
            </w:r>
          </w:p>
        </w:tc>
        <w:tc>
          <w:tcPr>
            <w:tcW w:w="3794" w:type="dxa"/>
            <w:vMerge w:val="restart"/>
          </w:tcPr>
          <w:p w:rsidR="00C538E6" w:rsidRPr="004B6555" w:rsidRDefault="00C538E6" w:rsidP="00E67B89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 Działalność orzecznicza.</w:t>
            </w:r>
          </w:p>
          <w:p w:rsidR="00C538E6" w:rsidRPr="004B6555" w:rsidRDefault="00C538E6" w:rsidP="00E67B89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 Wykonywanie wewnętrznego nadzoru administracyjnego nad działalnością administracyjną sądu.</w:t>
            </w:r>
          </w:p>
          <w:p w:rsidR="00C538E6" w:rsidRPr="004B6555" w:rsidRDefault="00C538E6" w:rsidP="00E67B89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3. Prowadzenie bieżącej analizy wyników pracy sądu oraz podejmowanie czynności </w:t>
            </w: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nadzorczych w celu zapewnienia prawidłowego toku urzędowania sądu.</w:t>
            </w:r>
          </w:p>
          <w:p w:rsidR="00C538E6" w:rsidRPr="004B6555" w:rsidRDefault="00C538E6" w:rsidP="00E67B89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4.Nadzór administracyjny Przewodniczących Wydziału nad przebiegiem postępowań sądowych.</w:t>
            </w:r>
          </w:p>
          <w:p w:rsidR="00C538E6" w:rsidRPr="004B6555" w:rsidRDefault="00C538E6" w:rsidP="00E67B89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 Monitorowanie poziomu etatyzacji i obsady stanowisk sędziowskich, asystenckich oraz urzędniczych celem zapewnienia optymalnej obsady w ramach przyznanych limitów.</w:t>
            </w:r>
          </w:p>
          <w:p w:rsidR="00525058" w:rsidRPr="004B6555" w:rsidRDefault="00525058" w:rsidP="00E67B89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6.Zapewnienie ciągłości działania i funkcjonowania systemów IT.</w:t>
            </w:r>
          </w:p>
          <w:p w:rsidR="00C538E6" w:rsidRPr="004B6555" w:rsidRDefault="00525058" w:rsidP="00C538E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</w:t>
            </w:r>
            <w:r w:rsidR="00C538E6"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 Działalność szkoleniowa - podnoszenie kwalifikacji zawodowych sędziów, asystentów sędziów,  kurato</w:t>
            </w:r>
            <w:r w:rsidR="00C15ED5"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rów sądowych oraz urzędników.</w:t>
            </w:r>
          </w:p>
        </w:tc>
        <w:tc>
          <w:tcPr>
            <w:tcW w:w="2727" w:type="dxa"/>
            <w:vMerge/>
          </w:tcPr>
          <w:p w:rsidR="00C538E6" w:rsidRPr="004B6555" w:rsidRDefault="00C538E6" w:rsidP="00E67B89">
            <w:pPr>
              <w:spacing w:after="0" w:line="3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8E6" w:rsidRPr="00BB0894" w:rsidTr="00D3760D">
        <w:trPr>
          <w:trHeight w:val="2818"/>
        </w:trPr>
        <w:tc>
          <w:tcPr>
            <w:tcW w:w="563" w:type="dxa"/>
            <w:vMerge/>
          </w:tcPr>
          <w:p w:rsidR="00C538E6" w:rsidRPr="004B6555" w:rsidRDefault="00C538E6" w:rsidP="00E67B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38E6" w:rsidRPr="004B6555" w:rsidRDefault="00C538E6" w:rsidP="00E67B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C538E6" w:rsidRPr="004B6555" w:rsidRDefault="00C538E6" w:rsidP="00E67B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Wskaźnik opanowania wpływu głównych kategorii spraw rozpatrywanych przez sądy I instancji</w:t>
            </w:r>
          </w:p>
        </w:tc>
        <w:tc>
          <w:tcPr>
            <w:tcW w:w="1702" w:type="dxa"/>
            <w:vAlign w:val="center"/>
          </w:tcPr>
          <w:p w:rsidR="00C538E6" w:rsidRPr="004B6555" w:rsidRDefault="008F104C" w:rsidP="00E67B8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85</w:t>
            </w:r>
            <w:r w:rsidR="00C538E6"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,0%</w:t>
            </w:r>
          </w:p>
        </w:tc>
        <w:tc>
          <w:tcPr>
            <w:tcW w:w="1702" w:type="dxa"/>
            <w:vAlign w:val="center"/>
          </w:tcPr>
          <w:p w:rsidR="00C538E6" w:rsidRPr="004B6555" w:rsidRDefault="009F321E" w:rsidP="00E67B8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t>89,</w:t>
            </w:r>
            <w:r w:rsidR="008F104C" w:rsidRPr="004B655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C538E6" w:rsidRPr="004B6555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3794" w:type="dxa"/>
            <w:vMerge/>
          </w:tcPr>
          <w:p w:rsidR="00C538E6" w:rsidRPr="004B6555" w:rsidRDefault="00C538E6" w:rsidP="00E67B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C538E6" w:rsidRPr="004B6555" w:rsidRDefault="00C538E6" w:rsidP="00E67B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8E6" w:rsidRPr="00BB0894" w:rsidTr="00D3760D">
        <w:tc>
          <w:tcPr>
            <w:tcW w:w="563" w:type="dxa"/>
            <w:vMerge/>
          </w:tcPr>
          <w:p w:rsidR="00C538E6" w:rsidRPr="004B6555" w:rsidRDefault="00C538E6" w:rsidP="00E67B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38E6" w:rsidRPr="004B6555" w:rsidRDefault="00C538E6" w:rsidP="00E67B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C538E6" w:rsidRPr="004B6555" w:rsidRDefault="00C538E6" w:rsidP="00E67B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Liczba etatów asystenckich przypadających na jeden etat sędziego.</w:t>
            </w:r>
          </w:p>
        </w:tc>
        <w:tc>
          <w:tcPr>
            <w:tcW w:w="1702" w:type="dxa"/>
            <w:vAlign w:val="center"/>
          </w:tcPr>
          <w:p w:rsidR="00C538E6" w:rsidRPr="004B6555" w:rsidRDefault="00C538E6" w:rsidP="00E67B8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0,4</w:t>
            </w:r>
          </w:p>
        </w:tc>
        <w:tc>
          <w:tcPr>
            <w:tcW w:w="1702" w:type="dxa"/>
            <w:vAlign w:val="center"/>
          </w:tcPr>
          <w:p w:rsidR="00C538E6" w:rsidRPr="004B6555" w:rsidRDefault="00C538E6" w:rsidP="00E67B8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t>0,4</w:t>
            </w:r>
          </w:p>
        </w:tc>
        <w:tc>
          <w:tcPr>
            <w:tcW w:w="3794" w:type="dxa"/>
          </w:tcPr>
          <w:p w:rsidR="00C538E6" w:rsidRPr="004B6555" w:rsidRDefault="00C538E6" w:rsidP="00C538E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1.Monitorowanie poziomu etatyzacji asystentów.</w:t>
            </w:r>
          </w:p>
          <w:p w:rsidR="00C538E6" w:rsidRPr="004B6555" w:rsidRDefault="00C538E6" w:rsidP="00C538E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2.Zapewnienie optymalnej obsady w ramach przyznanych limitów.</w:t>
            </w:r>
          </w:p>
        </w:tc>
        <w:tc>
          <w:tcPr>
            <w:tcW w:w="2727" w:type="dxa"/>
            <w:vMerge/>
          </w:tcPr>
          <w:p w:rsidR="00C538E6" w:rsidRPr="004B6555" w:rsidRDefault="00C538E6" w:rsidP="00E67B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74B7" w:rsidRPr="00BB0894" w:rsidTr="00D3760D">
        <w:tc>
          <w:tcPr>
            <w:tcW w:w="563" w:type="dxa"/>
          </w:tcPr>
          <w:p w:rsidR="006C74B7" w:rsidRPr="004B6555" w:rsidRDefault="00B823E5" w:rsidP="00E67B89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68" w:type="dxa"/>
          </w:tcPr>
          <w:p w:rsidR="006C74B7" w:rsidRPr="004B6555" w:rsidRDefault="006C74B7" w:rsidP="00E67B89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Zagwarantowanie obywatelom konstytucyjnego prawa do sądu.</w:t>
            </w:r>
          </w:p>
        </w:tc>
        <w:tc>
          <w:tcPr>
            <w:tcW w:w="2553" w:type="dxa"/>
          </w:tcPr>
          <w:p w:rsidR="006C74B7" w:rsidRPr="004B6555" w:rsidRDefault="006C74B7" w:rsidP="00E67B89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Wskaźnik opanowania wpływu spraw (ogółem). </w:t>
            </w:r>
          </w:p>
        </w:tc>
        <w:tc>
          <w:tcPr>
            <w:tcW w:w="1702" w:type="dxa"/>
            <w:vAlign w:val="center"/>
          </w:tcPr>
          <w:p w:rsidR="006C74B7" w:rsidRPr="004B6555" w:rsidRDefault="008F104C" w:rsidP="00E67B8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92</w:t>
            </w:r>
            <w:r w:rsidR="00B823E5"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,0</w:t>
            </w:r>
            <w:r w:rsidR="006C74B7"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702" w:type="dxa"/>
            <w:vAlign w:val="center"/>
          </w:tcPr>
          <w:p w:rsidR="006C74B7" w:rsidRPr="004B6555" w:rsidRDefault="008F104C" w:rsidP="00E67B8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t>96,3</w:t>
            </w:r>
            <w:r w:rsidR="005732EE" w:rsidRPr="004B6555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3794" w:type="dxa"/>
          </w:tcPr>
          <w:p w:rsidR="00A70B36" w:rsidRPr="004B6555" w:rsidRDefault="00A70B36" w:rsidP="00E67B89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 Spra</w:t>
            </w:r>
            <w:r w:rsidR="00F55956"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wowanie wymi</w:t>
            </w:r>
            <w:r w:rsidR="00525058"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aru sprawiedliwości.</w:t>
            </w:r>
          </w:p>
          <w:p w:rsidR="00A70B36" w:rsidRPr="004B6555" w:rsidRDefault="00A70B36" w:rsidP="00E67B89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 Wykonywanie orzeczeń w</w:t>
            </w:r>
            <w:r w:rsidR="00F55956"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ydawanych przez sąd.</w:t>
            </w:r>
          </w:p>
          <w:p w:rsidR="00A70B36" w:rsidRPr="004B6555" w:rsidRDefault="00A70B36" w:rsidP="00E67B89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3. Zarządzanie i nadzór administracyjny nad d</w:t>
            </w:r>
            <w:r w:rsidR="00F55956"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ziałalnością sądu.</w:t>
            </w:r>
          </w:p>
          <w:p w:rsidR="006C74B7" w:rsidRPr="004B6555" w:rsidRDefault="00A70B36" w:rsidP="00E67B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 Działalność na rzecz ułatwienia dostępu do wymiaru sprawiedliwości.</w:t>
            </w:r>
          </w:p>
        </w:tc>
        <w:tc>
          <w:tcPr>
            <w:tcW w:w="2727" w:type="dxa"/>
          </w:tcPr>
          <w:p w:rsidR="001F7EF0" w:rsidRPr="004B6555" w:rsidRDefault="002C26CC" w:rsidP="00E67B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1.C</w:t>
            </w:r>
            <w:r w:rsidR="00C15ED5" w:rsidRPr="004B6555">
              <w:rPr>
                <w:rFonts w:asciiTheme="minorHAnsi" w:hAnsiTheme="minorHAnsi" w:cstheme="minorHAnsi"/>
                <w:sz w:val="24"/>
                <w:szCs w:val="24"/>
              </w:rPr>
              <w:t xml:space="preserve">zynności nadzorcze Prezesa Sądu </w:t>
            </w:r>
            <w:r w:rsidRPr="004B6555">
              <w:rPr>
                <w:rFonts w:asciiTheme="minorHAnsi" w:hAnsiTheme="minorHAnsi" w:cstheme="minorHAnsi"/>
                <w:sz w:val="24"/>
                <w:szCs w:val="24"/>
              </w:rPr>
              <w:t>i Przewodniczących Wydziałów.</w:t>
            </w:r>
          </w:p>
          <w:p w:rsidR="002C26CC" w:rsidRPr="004B6555" w:rsidRDefault="002C26CC" w:rsidP="00E67B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2.Zapewnienie właściwej obsady sędziowskiej i urzędniczej.</w:t>
            </w:r>
          </w:p>
          <w:p w:rsidR="001F7EF0" w:rsidRPr="004B6555" w:rsidRDefault="00525058" w:rsidP="00E67B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6555">
              <w:rPr>
                <w:rFonts w:asciiTheme="minorHAnsi" w:hAnsiTheme="minorHAnsi" w:cstheme="minorHAnsi"/>
                <w:sz w:val="24"/>
                <w:szCs w:val="24"/>
              </w:rPr>
              <w:t>3.Realizowanie s</w:t>
            </w:r>
            <w:r w:rsidR="002C26CC" w:rsidRPr="004B6555">
              <w:rPr>
                <w:rFonts w:asciiTheme="minorHAnsi" w:hAnsiTheme="minorHAnsi" w:cstheme="minorHAnsi"/>
                <w:sz w:val="24"/>
                <w:szCs w:val="24"/>
              </w:rPr>
              <w:t>ta</w:t>
            </w:r>
            <w:r w:rsidRPr="004B6555">
              <w:rPr>
                <w:rFonts w:asciiTheme="minorHAnsi" w:hAnsiTheme="minorHAnsi" w:cstheme="minorHAnsi"/>
                <w:sz w:val="24"/>
                <w:szCs w:val="24"/>
              </w:rPr>
              <w:t>ndardów p</w:t>
            </w:r>
            <w:r w:rsidR="002C26CC" w:rsidRPr="004B6555">
              <w:rPr>
                <w:rFonts w:asciiTheme="minorHAnsi" w:hAnsiTheme="minorHAnsi" w:cstheme="minorHAnsi"/>
                <w:sz w:val="24"/>
                <w:szCs w:val="24"/>
              </w:rPr>
              <w:t>rofesjonalnej obsłu</w:t>
            </w:r>
            <w:r w:rsidR="00C15ED5" w:rsidRPr="004B6555">
              <w:rPr>
                <w:rFonts w:asciiTheme="minorHAnsi" w:hAnsiTheme="minorHAnsi" w:cstheme="minorHAnsi"/>
                <w:sz w:val="24"/>
                <w:szCs w:val="24"/>
              </w:rPr>
              <w:t>gi interesanta</w:t>
            </w:r>
            <w:r w:rsidR="00596F2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70403B" w:rsidRPr="00BE7960" w:rsidRDefault="00D3760D" w:rsidP="002352B9">
      <w:pPr>
        <w:spacing w:before="360" w:after="240"/>
        <w:rPr>
          <w:rFonts w:asciiTheme="minorHAnsi" w:hAnsiTheme="minorHAnsi" w:cstheme="minorHAnsi"/>
          <w:sz w:val="28"/>
          <w:szCs w:val="28"/>
        </w:rPr>
      </w:pPr>
      <w:r w:rsidRPr="00BE7960">
        <w:rPr>
          <w:rFonts w:asciiTheme="minorHAnsi" w:hAnsiTheme="minorHAnsi" w:cstheme="minorHAnsi"/>
          <w:sz w:val="28"/>
          <w:szCs w:val="28"/>
        </w:rPr>
        <w:lastRenderedPageBreak/>
        <w:t>Część D: Informacja dotycząca realizacji celów objętych planem działa</w:t>
      </w:r>
      <w:r w:rsidR="00525058" w:rsidRPr="00BE7960">
        <w:rPr>
          <w:rFonts w:asciiTheme="minorHAnsi" w:hAnsiTheme="minorHAnsi" w:cstheme="minorHAnsi"/>
          <w:sz w:val="28"/>
          <w:szCs w:val="28"/>
        </w:rPr>
        <w:t>lności na rok 2021</w:t>
      </w:r>
    </w:p>
    <w:p w:rsidR="008F104C" w:rsidRPr="009E713D" w:rsidRDefault="00086E72" w:rsidP="00BE7960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E713D">
        <w:rPr>
          <w:rFonts w:asciiTheme="minorHAnsi" w:hAnsiTheme="minorHAnsi" w:cstheme="minorHAnsi"/>
          <w:sz w:val="24"/>
          <w:szCs w:val="24"/>
        </w:rPr>
        <w:t>Zaplanowany w Celu 1 miernik dot. średniego czasu trwania postępowań sądowych według wybranych kategorii sp</w:t>
      </w:r>
      <w:r w:rsidR="008F104C" w:rsidRPr="009E713D">
        <w:rPr>
          <w:rFonts w:asciiTheme="minorHAnsi" w:hAnsiTheme="minorHAnsi" w:cstheme="minorHAnsi"/>
          <w:sz w:val="24"/>
          <w:szCs w:val="24"/>
        </w:rPr>
        <w:t>raw w I instancji na koniec 2021</w:t>
      </w:r>
      <w:r w:rsidRPr="009E713D">
        <w:rPr>
          <w:rFonts w:asciiTheme="minorHAnsi" w:hAnsiTheme="minorHAnsi" w:cstheme="minorHAnsi"/>
          <w:sz w:val="24"/>
          <w:szCs w:val="24"/>
        </w:rPr>
        <w:t xml:space="preserve">r. nie został osiągnięty z uwagi na następujące okoliczności: </w:t>
      </w:r>
    </w:p>
    <w:p w:rsidR="008F104C" w:rsidRPr="009E713D" w:rsidRDefault="008F104C" w:rsidP="00C15ED5">
      <w:pPr>
        <w:spacing w:after="0" w:line="360" w:lineRule="auto"/>
        <w:ind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E713D">
        <w:rPr>
          <w:rFonts w:asciiTheme="minorHAnsi" w:hAnsiTheme="minorHAnsi" w:cstheme="minorHAnsi"/>
          <w:sz w:val="24"/>
          <w:szCs w:val="24"/>
        </w:rPr>
        <w:t xml:space="preserve">W I Wydziale Cywilnym średni czas trwania postępowania był wydłużony z uwagi na aktualną sytuację w kraju związaną z rozprzestrzenianiem się wirusa SARS Cov-2. Zachorowania stron postępowania zwiększały liczbę wniosków o odroczenie terminu rozprawy. Zarówno sędziowie jak i pracownicy sekretariatu korzystali ze zwolnień lekarskich. </w:t>
      </w:r>
    </w:p>
    <w:p w:rsidR="008F104C" w:rsidRPr="009E713D" w:rsidRDefault="008F104C" w:rsidP="00C15ED5">
      <w:pPr>
        <w:spacing w:after="0" w:line="360" w:lineRule="auto"/>
        <w:ind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E713D">
        <w:rPr>
          <w:rFonts w:asciiTheme="minorHAnsi" w:hAnsiTheme="minorHAnsi" w:cstheme="minorHAnsi"/>
          <w:sz w:val="24"/>
          <w:szCs w:val="24"/>
        </w:rPr>
        <w:t xml:space="preserve">W 2021r. w I </w:t>
      </w:r>
      <w:r w:rsidR="009F321E" w:rsidRPr="009E713D">
        <w:rPr>
          <w:rFonts w:asciiTheme="minorHAnsi" w:hAnsiTheme="minorHAnsi" w:cstheme="minorHAnsi"/>
          <w:sz w:val="24"/>
          <w:szCs w:val="24"/>
        </w:rPr>
        <w:t>Wydziale Cywilnym załatwiono 2615</w:t>
      </w:r>
      <w:r w:rsidR="00C15ED5" w:rsidRPr="009E713D">
        <w:rPr>
          <w:rFonts w:asciiTheme="minorHAnsi" w:hAnsiTheme="minorHAnsi" w:cstheme="minorHAnsi"/>
          <w:sz w:val="24"/>
          <w:szCs w:val="24"/>
        </w:rPr>
        <w:t xml:space="preserve"> spraw, w porównaniu </w:t>
      </w:r>
      <w:r w:rsidRPr="009E713D">
        <w:rPr>
          <w:rFonts w:asciiTheme="minorHAnsi" w:hAnsiTheme="minorHAnsi" w:cstheme="minorHAnsi"/>
          <w:sz w:val="24"/>
          <w:szCs w:val="24"/>
        </w:rPr>
        <w:t>z rokie</w:t>
      </w:r>
      <w:r w:rsidR="005631B1" w:rsidRPr="009E713D">
        <w:rPr>
          <w:rFonts w:asciiTheme="minorHAnsi" w:hAnsiTheme="minorHAnsi" w:cstheme="minorHAnsi"/>
          <w:sz w:val="24"/>
          <w:szCs w:val="24"/>
        </w:rPr>
        <w:t>m 2020, w którym załatwiono 2292</w:t>
      </w:r>
      <w:r w:rsidRPr="009E713D">
        <w:rPr>
          <w:rFonts w:asciiTheme="minorHAnsi" w:hAnsiTheme="minorHAnsi" w:cstheme="minorHAnsi"/>
          <w:sz w:val="24"/>
          <w:szCs w:val="24"/>
        </w:rPr>
        <w:t xml:space="preserve"> spraw</w:t>
      </w:r>
      <w:r w:rsidR="005631B1" w:rsidRPr="009E713D">
        <w:rPr>
          <w:rFonts w:asciiTheme="minorHAnsi" w:hAnsiTheme="minorHAnsi" w:cstheme="minorHAnsi"/>
          <w:sz w:val="24"/>
          <w:szCs w:val="24"/>
        </w:rPr>
        <w:t>y</w:t>
      </w:r>
      <w:r w:rsidRPr="009E713D">
        <w:rPr>
          <w:rFonts w:asciiTheme="minorHAnsi" w:hAnsiTheme="minorHAnsi" w:cstheme="minorHAnsi"/>
          <w:sz w:val="24"/>
          <w:szCs w:val="24"/>
        </w:rPr>
        <w:t>. Nastąp</w:t>
      </w:r>
      <w:r w:rsidR="005631B1" w:rsidRPr="009E713D">
        <w:rPr>
          <w:rFonts w:asciiTheme="minorHAnsi" w:hAnsiTheme="minorHAnsi" w:cstheme="minorHAnsi"/>
          <w:sz w:val="24"/>
          <w:szCs w:val="24"/>
        </w:rPr>
        <w:t>ił więc wzrost załatwienia o 323</w:t>
      </w:r>
      <w:r w:rsidRPr="009E713D">
        <w:rPr>
          <w:rFonts w:asciiTheme="minorHAnsi" w:hAnsiTheme="minorHAnsi" w:cstheme="minorHAnsi"/>
          <w:sz w:val="24"/>
          <w:szCs w:val="24"/>
        </w:rPr>
        <w:t xml:space="preserve"> sprawy, pomimo zmniejszenia liczby sędziów orzeczników. Nastąpił także znaczny wzrost wpływu spraw w 2021r. o ponad 20% w porównaniu z</w:t>
      </w:r>
      <w:r w:rsidR="00C15ED5" w:rsidRPr="009E713D">
        <w:rPr>
          <w:rFonts w:asciiTheme="minorHAnsi" w:hAnsiTheme="minorHAnsi" w:cstheme="minorHAnsi"/>
          <w:sz w:val="24"/>
          <w:szCs w:val="24"/>
        </w:rPr>
        <w:t xml:space="preserve"> </w:t>
      </w:r>
      <w:r w:rsidRPr="009E713D">
        <w:rPr>
          <w:rFonts w:asciiTheme="minorHAnsi" w:hAnsiTheme="minorHAnsi" w:cstheme="minorHAnsi"/>
          <w:sz w:val="24"/>
          <w:szCs w:val="24"/>
        </w:rPr>
        <w:t xml:space="preserve">rokiem poprzednim. </w:t>
      </w:r>
    </w:p>
    <w:p w:rsidR="008F104C" w:rsidRPr="009E713D" w:rsidRDefault="008F104C" w:rsidP="00C15ED5">
      <w:pPr>
        <w:spacing w:after="0" w:line="360" w:lineRule="auto"/>
        <w:ind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E713D">
        <w:rPr>
          <w:rFonts w:asciiTheme="minorHAnsi" w:hAnsiTheme="minorHAnsi" w:cstheme="minorHAnsi"/>
          <w:sz w:val="24"/>
          <w:szCs w:val="24"/>
        </w:rPr>
        <w:t>Nadal w I Wydziale Cywilnym pozostaje nieobsadzony jeden etat sędziowski. Liczba etatów według zakresów orzekania wynosi 7,05 na 10 etatów (z uwagi na pełnione funkcje przez czterech sędziów).</w:t>
      </w:r>
    </w:p>
    <w:p w:rsidR="008F104C" w:rsidRPr="009E713D" w:rsidRDefault="008F104C" w:rsidP="00C15ED5">
      <w:pPr>
        <w:spacing w:after="0" w:line="360" w:lineRule="auto"/>
        <w:ind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E713D">
        <w:rPr>
          <w:rFonts w:asciiTheme="minorHAnsi" w:hAnsiTheme="minorHAnsi" w:cstheme="minorHAnsi"/>
          <w:sz w:val="24"/>
          <w:szCs w:val="24"/>
        </w:rPr>
        <w:t>Posiedzenia zdalne wymagają większego nakładu czasu z uwagi na złą jakość połączeń, konieczność kilkukrotnego łączenia się ze stronami, jednak liczba posiedzeń zdalnych wzrasta.</w:t>
      </w:r>
    </w:p>
    <w:p w:rsidR="008F104C" w:rsidRPr="009E713D" w:rsidRDefault="008F104C" w:rsidP="00C15ED5">
      <w:pPr>
        <w:spacing w:after="0" w:line="360" w:lineRule="auto"/>
        <w:ind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E713D">
        <w:rPr>
          <w:rFonts w:asciiTheme="minorHAnsi" w:hAnsiTheme="minorHAnsi" w:cstheme="minorHAnsi"/>
          <w:sz w:val="24"/>
          <w:szCs w:val="24"/>
        </w:rPr>
        <w:lastRenderedPageBreak/>
        <w:t>Nie bez znaczenia na sprawność postępowań ma również wp</w:t>
      </w:r>
      <w:r w:rsidR="00C15ED5" w:rsidRPr="009E713D">
        <w:rPr>
          <w:rFonts w:asciiTheme="minorHAnsi" w:hAnsiTheme="minorHAnsi" w:cstheme="minorHAnsi"/>
          <w:sz w:val="24"/>
          <w:szCs w:val="24"/>
        </w:rPr>
        <w:t>ływ odraczanie bądź odwoływanie</w:t>
      </w:r>
      <w:r w:rsidRPr="009E713D">
        <w:rPr>
          <w:rFonts w:asciiTheme="minorHAnsi" w:hAnsiTheme="minorHAnsi" w:cstheme="minorHAnsi"/>
          <w:sz w:val="24"/>
          <w:szCs w:val="24"/>
        </w:rPr>
        <w:t xml:space="preserve"> terminów badań diagnostycznych w Opiniodawczym Zespole Sądowych Specjalistów z powodu infekcji, przebywania na kwarantannie lub w izolacji uczestników i stron postępowania. Sytuacje takie powodują wydłużenie czasu oczekiwania na wydanie opinii i terminowość realizowania zleceń sądu.</w:t>
      </w:r>
    </w:p>
    <w:p w:rsidR="008F104C" w:rsidRPr="009E713D" w:rsidRDefault="008F104C" w:rsidP="00C15ED5">
      <w:pPr>
        <w:spacing w:after="0" w:line="360" w:lineRule="auto"/>
        <w:ind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E713D">
        <w:rPr>
          <w:rFonts w:asciiTheme="minorHAnsi" w:hAnsiTheme="minorHAnsi" w:cstheme="minorHAnsi"/>
          <w:sz w:val="24"/>
          <w:szCs w:val="24"/>
        </w:rPr>
        <w:t xml:space="preserve">W VI Wydziale Pracy i Ubezpieczeń Społecznych główną przyczyną nieosiągnięcia zaplanowanego miernika sprawności postępowań na rok 2021 są bardzo istotne problemy związane z wykonywaniem z opinii przez biegłych sądowych z zakresu medycyny. Znaczna ilość spraw dotyczy stanu zdrowia odwołujących. Obecnie na liście biegłych brak jest biegłych sądowych w zasadzie wszystkich specjalności. Sprawy kierowane są do Sądu Okręgowego w Lublinie w celu wydania opinii przez biegłych w drodze pomocy sądowej. Jednocześnie biegli z listy Prezesa Sądu Okręgowego w Lublinie podejmują się sporządzenia opinii wyłącznie na podstawie dokumentacji medycznej znajdującej się w aktach sprawy, bez bezpośredniego badania odwołujących, co z kolei powoduje liczne zarzuty do opinii biegłych od stron postepowania. Poza tym strony składają liczne zastrzeżenia do opinii, co często generuje konieczność zlecania opinii uzupełniających i znacznie wydłuża czas trwania postępowania. Dodatkowo w sprawach wykonywane są opinie przez lekarzy rożnych specjalności i zebranie wszystkich koniecznych opinii powoduje znaczny </w:t>
      </w:r>
      <w:r w:rsidR="00C15ED5" w:rsidRPr="009E713D">
        <w:rPr>
          <w:rFonts w:asciiTheme="minorHAnsi" w:hAnsiTheme="minorHAnsi" w:cstheme="minorHAnsi"/>
          <w:sz w:val="24"/>
          <w:szCs w:val="24"/>
        </w:rPr>
        <w:t>upływ czasu. Podejmowane są</w:t>
      </w:r>
      <w:r w:rsidR="00B709B5" w:rsidRPr="009E713D">
        <w:rPr>
          <w:rFonts w:asciiTheme="minorHAnsi" w:hAnsiTheme="minorHAnsi" w:cstheme="minorHAnsi"/>
          <w:sz w:val="24"/>
          <w:szCs w:val="24"/>
        </w:rPr>
        <w:t xml:space="preserve"> próby zlecania opinii biegłym spoza listy lub instytutom</w:t>
      </w:r>
      <w:r w:rsidRPr="009E713D">
        <w:rPr>
          <w:rFonts w:asciiTheme="minorHAnsi" w:hAnsiTheme="minorHAnsi" w:cstheme="minorHAnsi"/>
          <w:sz w:val="24"/>
          <w:szCs w:val="24"/>
        </w:rPr>
        <w:t xml:space="preserve">, ale </w:t>
      </w:r>
      <w:r w:rsidR="00B709B5" w:rsidRPr="009E713D">
        <w:rPr>
          <w:rFonts w:asciiTheme="minorHAnsi" w:hAnsiTheme="minorHAnsi" w:cstheme="minorHAnsi"/>
          <w:sz w:val="24"/>
          <w:szCs w:val="24"/>
        </w:rPr>
        <w:t>opinie generują wówczas bardzo wysokie koszty.</w:t>
      </w:r>
      <w:r w:rsidRPr="009E713D">
        <w:rPr>
          <w:rFonts w:asciiTheme="minorHAnsi" w:hAnsiTheme="minorHAnsi" w:cstheme="minorHAnsi"/>
          <w:sz w:val="24"/>
          <w:szCs w:val="24"/>
        </w:rPr>
        <w:t xml:space="preserve"> Szczególnego podkreślenia wymaga fakt, że koszty sporządzenia opinii w sprawach z zakresu ubezpieczeń społecznych ponosi w całości Skarb Państwa i nie podlegają one rozliczeniu w orzeczeniu kończącym postępowanie. </w:t>
      </w:r>
    </w:p>
    <w:p w:rsidR="008F104C" w:rsidRPr="009E713D" w:rsidRDefault="008F104C" w:rsidP="00C15ED5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E713D">
        <w:rPr>
          <w:rFonts w:asciiTheme="minorHAnsi" w:hAnsiTheme="minorHAnsi" w:cstheme="minorHAnsi"/>
          <w:sz w:val="24"/>
          <w:szCs w:val="24"/>
        </w:rPr>
        <w:t xml:space="preserve">Ponadto ze względu na specyfikę wydziału (sprawy w większości dotyczą osób w podeszłym wieku, wykluczonych w pewnym sensie informatycznie), w zasadzie nie są prowadzone rozprawy w trybie zdalnym. </w:t>
      </w:r>
    </w:p>
    <w:p w:rsidR="008F104C" w:rsidRPr="009E713D" w:rsidRDefault="008F104C" w:rsidP="00C15ED5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E713D">
        <w:rPr>
          <w:rFonts w:asciiTheme="minorHAnsi" w:hAnsiTheme="minorHAnsi" w:cstheme="minorHAnsi"/>
          <w:sz w:val="24"/>
          <w:szCs w:val="24"/>
        </w:rPr>
        <w:t>Jednocześnie wydłużył się czas wyznaczenia pierwszego terminu sprawy ze względu na rozpoznawanie większości spraw na posiedzeniu niejawnym. Z przyczyn wyżej wskazanych, zaistniała konieczność wymiany pism procesowych, przesłuchiwania stron postępowania i świadków na piśmie.</w:t>
      </w:r>
    </w:p>
    <w:p w:rsidR="008F104C" w:rsidRPr="009E713D" w:rsidRDefault="005631B1" w:rsidP="00C15ED5">
      <w:pPr>
        <w:spacing w:after="0" w:line="360" w:lineRule="auto"/>
        <w:ind w:firstLine="566"/>
        <w:jc w:val="both"/>
        <w:rPr>
          <w:rFonts w:asciiTheme="minorHAnsi" w:hAnsiTheme="minorHAnsi" w:cstheme="minorHAnsi"/>
          <w:sz w:val="24"/>
          <w:szCs w:val="24"/>
        </w:rPr>
      </w:pPr>
      <w:r w:rsidRPr="009E713D">
        <w:rPr>
          <w:rFonts w:asciiTheme="minorHAnsi" w:hAnsiTheme="minorHAnsi" w:cstheme="minorHAnsi"/>
          <w:sz w:val="24"/>
          <w:szCs w:val="24"/>
        </w:rPr>
        <w:t xml:space="preserve">VI </w:t>
      </w:r>
      <w:r w:rsidR="008F104C" w:rsidRPr="009E713D">
        <w:rPr>
          <w:rFonts w:asciiTheme="minorHAnsi" w:hAnsiTheme="minorHAnsi" w:cstheme="minorHAnsi"/>
          <w:sz w:val="24"/>
          <w:szCs w:val="24"/>
        </w:rPr>
        <w:t>Wydział Pracy i Ubezpieczeń Społecznych nadal orzeka bez sędziego i asystenta, którzy zostali delegowani do Ministerstwa Sprawiedliwości.</w:t>
      </w:r>
    </w:p>
    <w:p w:rsidR="0070403B" w:rsidRPr="009E713D" w:rsidRDefault="008F104C" w:rsidP="00614611">
      <w:pPr>
        <w:spacing w:after="360" w:line="360" w:lineRule="auto"/>
        <w:ind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E713D">
        <w:rPr>
          <w:rFonts w:asciiTheme="minorHAnsi" w:hAnsiTheme="minorHAnsi" w:cstheme="minorHAnsi"/>
          <w:sz w:val="24"/>
          <w:szCs w:val="24"/>
        </w:rPr>
        <w:lastRenderedPageBreak/>
        <w:t>W Sądzie Okręgowym w Radomiu na koniec IV kwartału 2021r. nieobsadzonych jest 7 stanowisk sędziowskich, 1 etat specjalisty w OZSS oraz 1 etat urzędniczy.</w:t>
      </w:r>
    </w:p>
    <w:p w:rsidR="00103D7A" w:rsidRPr="009E713D" w:rsidRDefault="00612F8E" w:rsidP="00614611">
      <w:pPr>
        <w:spacing w:before="120" w:after="0" w:line="360" w:lineRule="auto"/>
        <w:ind w:left="8931"/>
        <w:rPr>
          <w:rFonts w:asciiTheme="minorHAnsi" w:hAnsiTheme="minorHAnsi" w:cstheme="minorHAnsi"/>
          <w:sz w:val="24"/>
          <w:szCs w:val="24"/>
        </w:rPr>
      </w:pPr>
      <w:r w:rsidRPr="009E713D">
        <w:rPr>
          <w:rFonts w:asciiTheme="minorHAnsi" w:hAnsiTheme="minorHAnsi" w:cstheme="minorHAnsi"/>
          <w:sz w:val="24"/>
          <w:szCs w:val="24"/>
        </w:rPr>
        <w:t xml:space="preserve">Prezes </w:t>
      </w:r>
    </w:p>
    <w:p w:rsidR="00612F8E" w:rsidRPr="009E713D" w:rsidRDefault="00612F8E" w:rsidP="00C15ED5">
      <w:pPr>
        <w:spacing w:after="0" w:line="360" w:lineRule="auto"/>
        <w:ind w:left="8931"/>
        <w:rPr>
          <w:rFonts w:asciiTheme="minorHAnsi" w:hAnsiTheme="minorHAnsi" w:cstheme="minorHAnsi"/>
          <w:sz w:val="24"/>
          <w:szCs w:val="24"/>
        </w:rPr>
      </w:pPr>
      <w:r w:rsidRPr="009E713D">
        <w:rPr>
          <w:rFonts w:asciiTheme="minorHAnsi" w:hAnsiTheme="minorHAnsi" w:cstheme="minorHAnsi"/>
          <w:sz w:val="24"/>
          <w:szCs w:val="24"/>
        </w:rPr>
        <w:t>Sądu Okręgowego</w:t>
      </w:r>
      <w:r w:rsidR="008F104C" w:rsidRPr="009E713D">
        <w:rPr>
          <w:rFonts w:asciiTheme="minorHAnsi" w:hAnsiTheme="minorHAnsi" w:cstheme="minorHAnsi"/>
          <w:sz w:val="24"/>
          <w:szCs w:val="24"/>
        </w:rPr>
        <w:t xml:space="preserve"> w Radomiu</w:t>
      </w:r>
    </w:p>
    <w:p w:rsidR="00612F8E" w:rsidRPr="009E713D" w:rsidRDefault="00612F8E" w:rsidP="00C15ED5">
      <w:pPr>
        <w:spacing w:after="0" w:line="360" w:lineRule="auto"/>
        <w:ind w:left="8931"/>
        <w:rPr>
          <w:rFonts w:asciiTheme="minorHAnsi" w:hAnsiTheme="minorHAnsi" w:cstheme="minorHAnsi"/>
          <w:sz w:val="24"/>
          <w:szCs w:val="24"/>
        </w:rPr>
      </w:pPr>
      <w:r w:rsidRPr="009E713D">
        <w:rPr>
          <w:rFonts w:asciiTheme="minorHAnsi" w:hAnsiTheme="minorHAnsi" w:cstheme="minorHAnsi"/>
          <w:sz w:val="24"/>
          <w:szCs w:val="24"/>
        </w:rPr>
        <w:t>Marta Łobodzińska</w:t>
      </w:r>
    </w:p>
    <w:p w:rsidR="00612F8E" w:rsidRPr="009E713D" w:rsidRDefault="00D828A0" w:rsidP="001F5883">
      <w:pPr>
        <w:spacing w:after="480" w:line="360" w:lineRule="auto"/>
        <w:ind w:left="8931"/>
        <w:rPr>
          <w:rFonts w:asciiTheme="minorHAnsi" w:hAnsiTheme="minorHAnsi" w:cstheme="minorHAnsi"/>
          <w:sz w:val="24"/>
          <w:szCs w:val="24"/>
        </w:rPr>
      </w:pPr>
      <w:r w:rsidRPr="009E713D">
        <w:rPr>
          <w:rFonts w:asciiTheme="minorHAnsi" w:hAnsiTheme="minorHAnsi" w:cstheme="minorHAnsi"/>
          <w:sz w:val="24"/>
          <w:szCs w:val="24"/>
        </w:rPr>
        <w:t>/</w:t>
      </w:r>
      <w:r w:rsidR="001F5883" w:rsidRPr="009E713D">
        <w:rPr>
          <w:rFonts w:asciiTheme="minorHAnsi" w:hAnsiTheme="minorHAnsi" w:cstheme="minorHAnsi"/>
          <w:sz w:val="24"/>
          <w:szCs w:val="24"/>
        </w:rPr>
        <w:t xml:space="preserve">-/ </w:t>
      </w:r>
      <w:r w:rsidR="00C15ED5" w:rsidRPr="009E713D">
        <w:rPr>
          <w:rFonts w:asciiTheme="minorHAnsi" w:hAnsiTheme="minorHAnsi" w:cstheme="minorHAnsi"/>
          <w:sz w:val="24"/>
          <w:szCs w:val="24"/>
        </w:rPr>
        <w:t xml:space="preserve">Na oryginale właściwy </w:t>
      </w:r>
      <w:r w:rsidR="001F5883" w:rsidRPr="009E713D">
        <w:rPr>
          <w:rFonts w:asciiTheme="minorHAnsi" w:hAnsiTheme="minorHAnsi" w:cstheme="minorHAnsi"/>
          <w:sz w:val="24"/>
          <w:szCs w:val="24"/>
        </w:rPr>
        <w:t>podpis</w:t>
      </w:r>
    </w:p>
    <w:p w:rsidR="00612F8E" w:rsidRPr="009E713D" w:rsidRDefault="00612F8E" w:rsidP="00C15ED5">
      <w:pPr>
        <w:tabs>
          <w:tab w:val="left" w:pos="5103"/>
        </w:tabs>
        <w:spacing w:after="0" w:line="360" w:lineRule="auto"/>
        <w:ind w:left="8931"/>
        <w:jc w:val="both"/>
        <w:rPr>
          <w:rFonts w:asciiTheme="minorHAnsi" w:hAnsiTheme="minorHAnsi" w:cstheme="minorHAnsi"/>
          <w:sz w:val="24"/>
          <w:szCs w:val="24"/>
        </w:rPr>
      </w:pPr>
      <w:r w:rsidRPr="009E713D">
        <w:rPr>
          <w:rFonts w:asciiTheme="minorHAnsi" w:hAnsiTheme="minorHAnsi" w:cstheme="minorHAnsi"/>
          <w:sz w:val="24"/>
          <w:szCs w:val="24"/>
        </w:rPr>
        <w:t>Dy</w:t>
      </w:r>
      <w:r w:rsidR="0070403B" w:rsidRPr="009E713D">
        <w:rPr>
          <w:rFonts w:asciiTheme="minorHAnsi" w:hAnsiTheme="minorHAnsi" w:cstheme="minorHAnsi"/>
          <w:sz w:val="24"/>
          <w:szCs w:val="24"/>
        </w:rPr>
        <w:t>rektor</w:t>
      </w:r>
      <w:r w:rsidRPr="009E713D">
        <w:rPr>
          <w:rFonts w:asciiTheme="minorHAnsi" w:hAnsiTheme="minorHAnsi" w:cstheme="minorHAnsi"/>
          <w:sz w:val="24"/>
          <w:szCs w:val="24"/>
        </w:rPr>
        <w:t xml:space="preserve"> Sądu Okręgowego w Radomiu</w:t>
      </w:r>
    </w:p>
    <w:p w:rsidR="00612F8E" w:rsidRPr="009E713D" w:rsidRDefault="0070403B" w:rsidP="00C15ED5">
      <w:pPr>
        <w:tabs>
          <w:tab w:val="left" w:pos="5103"/>
        </w:tabs>
        <w:spacing w:after="0" w:line="360" w:lineRule="auto"/>
        <w:ind w:left="8931"/>
        <w:jc w:val="both"/>
        <w:rPr>
          <w:rFonts w:asciiTheme="minorHAnsi" w:hAnsiTheme="minorHAnsi" w:cstheme="minorHAnsi"/>
          <w:sz w:val="24"/>
          <w:szCs w:val="24"/>
        </w:rPr>
      </w:pPr>
      <w:r w:rsidRPr="009E713D">
        <w:rPr>
          <w:rFonts w:asciiTheme="minorHAnsi" w:hAnsiTheme="minorHAnsi" w:cstheme="minorHAnsi"/>
          <w:sz w:val="24"/>
          <w:szCs w:val="24"/>
        </w:rPr>
        <w:t>Jan Kulig</w:t>
      </w:r>
    </w:p>
    <w:p w:rsidR="00612F8E" w:rsidRPr="009E713D" w:rsidRDefault="00D828A0" w:rsidP="00C15ED5">
      <w:pPr>
        <w:tabs>
          <w:tab w:val="left" w:pos="5103"/>
        </w:tabs>
        <w:spacing w:after="0" w:line="360" w:lineRule="auto"/>
        <w:ind w:left="8931"/>
        <w:jc w:val="both"/>
        <w:rPr>
          <w:rFonts w:asciiTheme="minorHAnsi" w:hAnsiTheme="minorHAnsi" w:cstheme="minorHAnsi"/>
          <w:sz w:val="24"/>
          <w:szCs w:val="24"/>
        </w:rPr>
      </w:pPr>
      <w:r w:rsidRPr="009E713D">
        <w:rPr>
          <w:rFonts w:asciiTheme="minorHAnsi" w:hAnsiTheme="minorHAnsi" w:cstheme="minorHAnsi"/>
          <w:sz w:val="24"/>
          <w:szCs w:val="24"/>
        </w:rPr>
        <w:t>/</w:t>
      </w:r>
      <w:r w:rsidR="001F5883" w:rsidRPr="009E713D">
        <w:rPr>
          <w:rFonts w:asciiTheme="minorHAnsi" w:hAnsiTheme="minorHAnsi" w:cstheme="minorHAnsi"/>
          <w:sz w:val="24"/>
          <w:szCs w:val="24"/>
        </w:rPr>
        <w:t>-/ Na oryginale właściwy podpis</w:t>
      </w:r>
    </w:p>
    <w:p w:rsidR="00C2667E" w:rsidRPr="009E713D" w:rsidRDefault="001F5883" w:rsidP="00C15E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713D">
        <w:rPr>
          <w:rFonts w:asciiTheme="minorHAnsi" w:hAnsiTheme="minorHAnsi" w:cstheme="minorHAnsi"/>
          <w:sz w:val="24"/>
          <w:szCs w:val="24"/>
        </w:rPr>
        <w:t>R</w:t>
      </w:r>
      <w:r w:rsidR="004E3103" w:rsidRPr="009E713D">
        <w:rPr>
          <w:rFonts w:asciiTheme="minorHAnsi" w:hAnsiTheme="minorHAnsi" w:cstheme="minorHAnsi"/>
          <w:sz w:val="24"/>
          <w:szCs w:val="24"/>
        </w:rPr>
        <w:t xml:space="preserve">adom, </w:t>
      </w:r>
      <w:r w:rsidR="00FA1C90" w:rsidRPr="009E713D">
        <w:rPr>
          <w:rFonts w:asciiTheme="minorHAnsi" w:hAnsiTheme="minorHAnsi" w:cstheme="minorHAnsi"/>
          <w:sz w:val="24"/>
          <w:szCs w:val="24"/>
        </w:rPr>
        <w:t>dnia</w:t>
      </w:r>
      <w:r w:rsidR="00C15ED5" w:rsidRPr="009E713D">
        <w:rPr>
          <w:rFonts w:asciiTheme="minorHAnsi" w:hAnsiTheme="minorHAnsi" w:cstheme="minorHAnsi"/>
          <w:sz w:val="24"/>
          <w:szCs w:val="24"/>
        </w:rPr>
        <w:t xml:space="preserve"> </w:t>
      </w:r>
      <w:r w:rsidR="008A78F5">
        <w:rPr>
          <w:rFonts w:asciiTheme="minorHAnsi" w:hAnsiTheme="minorHAnsi" w:cstheme="minorHAnsi"/>
          <w:sz w:val="24"/>
          <w:szCs w:val="24"/>
        </w:rPr>
        <w:t>10</w:t>
      </w:r>
      <w:r w:rsidR="003267C7" w:rsidRPr="009E713D">
        <w:rPr>
          <w:rFonts w:asciiTheme="minorHAnsi" w:hAnsiTheme="minorHAnsi" w:cstheme="minorHAnsi"/>
          <w:sz w:val="24"/>
          <w:szCs w:val="24"/>
        </w:rPr>
        <w:t xml:space="preserve"> </w:t>
      </w:r>
      <w:r w:rsidR="008F104C" w:rsidRPr="009E713D">
        <w:rPr>
          <w:rFonts w:asciiTheme="minorHAnsi" w:hAnsiTheme="minorHAnsi" w:cstheme="minorHAnsi"/>
          <w:sz w:val="24"/>
          <w:szCs w:val="24"/>
        </w:rPr>
        <w:t>marca 2022</w:t>
      </w:r>
      <w:r w:rsidR="004E3103" w:rsidRPr="009E713D">
        <w:rPr>
          <w:rFonts w:asciiTheme="minorHAnsi" w:hAnsiTheme="minorHAnsi" w:cstheme="minorHAnsi"/>
          <w:sz w:val="24"/>
          <w:szCs w:val="24"/>
        </w:rPr>
        <w:t>r.</w:t>
      </w:r>
    </w:p>
    <w:sectPr w:rsidR="00C2667E" w:rsidRPr="009E713D" w:rsidSect="00BC2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4C" w:rsidRDefault="00817E4C" w:rsidP="00C15ED5">
      <w:pPr>
        <w:spacing w:after="0" w:line="240" w:lineRule="auto"/>
      </w:pPr>
      <w:r>
        <w:separator/>
      </w:r>
    </w:p>
  </w:endnote>
  <w:endnote w:type="continuationSeparator" w:id="0">
    <w:p w:rsidR="00817E4C" w:rsidRDefault="00817E4C" w:rsidP="00C1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D5" w:rsidRDefault="00C15E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D5" w:rsidRDefault="00C15E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D5" w:rsidRDefault="00C15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4C" w:rsidRDefault="00817E4C" w:rsidP="00C15ED5">
      <w:pPr>
        <w:spacing w:after="0" w:line="240" w:lineRule="auto"/>
      </w:pPr>
      <w:r>
        <w:separator/>
      </w:r>
    </w:p>
  </w:footnote>
  <w:footnote w:type="continuationSeparator" w:id="0">
    <w:p w:rsidR="00817E4C" w:rsidRDefault="00817E4C" w:rsidP="00C1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D5" w:rsidRDefault="00C15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D5" w:rsidRDefault="00C15E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D5" w:rsidRDefault="00C15E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110F"/>
    <w:multiLevelType w:val="hybridMultilevel"/>
    <w:tmpl w:val="06C4E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7A"/>
    <w:rsid w:val="00004E31"/>
    <w:rsid w:val="000169B1"/>
    <w:rsid w:val="0004699F"/>
    <w:rsid w:val="00086E72"/>
    <w:rsid w:val="00103D7A"/>
    <w:rsid w:val="00166D5D"/>
    <w:rsid w:val="00175BB5"/>
    <w:rsid w:val="00187CCE"/>
    <w:rsid w:val="001B3EC0"/>
    <w:rsid w:val="001D5145"/>
    <w:rsid w:val="001F5883"/>
    <w:rsid w:val="001F7EF0"/>
    <w:rsid w:val="00200124"/>
    <w:rsid w:val="00232200"/>
    <w:rsid w:val="002352B9"/>
    <w:rsid w:val="002C26CC"/>
    <w:rsid w:val="002D36FF"/>
    <w:rsid w:val="002F21F1"/>
    <w:rsid w:val="00310B5B"/>
    <w:rsid w:val="00311749"/>
    <w:rsid w:val="00313F31"/>
    <w:rsid w:val="003267C7"/>
    <w:rsid w:val="003267F3"/>
    <w:rsid w:val="00356487"/>
    <w:rsid w:val="00366FFA"/>
    <w:rsid w:val="00374CA3"/>
    <w:rsid w:val="003D1DDC"/>
    <w:rsid w:val="003E2319"/>
    <w:rsid w:val="003E5AA1"/>
    <w:rsid w:val="003F239A"/>
    <w:rsid w:val="00417B15"/>
    <w:rsid w:val="004872D9"/>
    <w:rsid w:val="004A6767"/>
    <w:rsid w:val="004B6555"/>
    <w:rsid w:val="004E3103"/>
    <w:rsid w:val="004F0A35"/>
    <w:rsid w:val="00525058"/>
    <w:rsid w:val="00531788"/>
    <w:rsid w:val="005447BF"/>
    <w:rsid w:val="005631B1"/>
    <w:rsid w:val="00563490"/>
    <w:rsid w:val="005732EE"/>
    <w:rsid w:val="00596F26"/>
    <w:rsid w:val="005F7576"/>
    <w:rsid w:val="00612F8E"/>
    <w:rsid w:val="00614611"/>
    <w:rsid w:val="006B2301"/>
    <w:rsid w:val="006C1AF6"/>
    <w:rsid w:val="006C74B7"/>
    <w:rsid w:val="0070403B"/>
    <w:rsid w:val="007D616E"/>
    <w:rsid w:val="007D792D"/>
    <w:rsid w:val="007F062B"/>
    <w:rsid w:val="00817E4C"/>
    <w:rsid w:val="0085358E"/>
    <w:rsid w:val="008A78F5"/>
    <w:rsid w:val="008F104C"/>
    <w:rsid w:val="0093627C"/>
    <w:rsid w:val="00997CE4"/>
    <w:rsid w:val="009E713D"/>
    <w:rsid w:val="009F321E"/>
    <w:rsid w:val="00A05B01"/>
    <w:rsid w:val="00A1546C"/>
    <w:rsid w:val="00A20AA3"/>
    <w:rsid w:val="00A670EC"/>
    <w:rsid w:val="00A70B36"/>
    <w:rsid w:val="00A93C66"/>
    <w:rsid w:val="00B10F88"/>
    <w:rsid w:val="00B512C0"/>
    <w:rsid w:val="00B51ACE"/>
    <w:rsid w:val="00B709B5"/>
    <w:rsid w:val="00B823E5"/>
    <w:rsid w:val="00B855F8"/>
    <w:rsid w:val="00B97FB3"/>
    <w:rsid w:val="00BB0894"/>
    <w:rsid w:val="00BB6721"/>
    <w:rsid w:val="00BC2674"/>
    <w:rsid w:val="00BE2CCF"/>
    <w:rsid w:val="00BE7960"/>
    <w:rsid w:val="00C15ED5"/>
    <w:rsid w:val="00C2667E"/>
    <w:rsid w:val="00C348BD"/>
    <w:rsid w:val="00C538E6"/>
    <w:rsid w:val="00C573F3"/>
    <w:rsid w:val="00C73E42"/>
    <w:rsid w:val="00CA789B"/>
    <w:rsid w:val="00CF0FF4"/>
    <w:rsid w:val="00D3760D"/>
    <w:rsid w:val="00D46ABD"/>
    <w:rsid w:val="00D74962"/>
    <w:rsid w:val="00D828A0"/>
    <w:rsid w:val="00D93FC5"/>
    <w:rsid w:val="00DA281F"/>
    <w:rsid w:val="00DC5D8E"/>
    <w:rsid w:val="00DF00ED"/>
    <w:rsid w:val="00DF2CB9"/>
    <w:rsid w:val="00E316F7"/>
    <w:rsid w:val="00E47F98"/>
    <w:rsid w:val="00E67B89"/>
    <w:rsid w:val="00E75B9B"/>
    <w:rsid w:val="00E83731"/>
    <w:rsid w:val="00EA5D98"/>
    <w:rsid w:val="00EB064A"/>
    <w:rsid w:val="00F55956"/>
    <w:rsid w:val="00FA1C90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86E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AA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D8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C5D8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5E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E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5E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E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2022-03-09T09:31:00Z</dcterms:created>
  <dcterms:modified xsi:type="dcterms:W3CDTF">2022-03-09T12:48:00Z</dcterms:modified>
</cp:coreProperties>
</file>